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6FA4" w14:textId="77777777" w:rsidR="0088410E" w:rsidRPr="002D30C0" w:rsidRDefault="0088410E">
      <w:pPr>
        <w:rPr>
          <w:rFonts w:asciiTheme="majorBidi" w:hAnsiTheme="majorBidi" w:cstheme="majorBidi"/>
        </w:rPr>
      </w:pPr>
      <w:r w:rsidRPr="002D30C0">
        <w:rPr>
          <w:rFonts w:asciiTheme="majorBidi" w:hAnsiTheme="majorBidi" w:cstheme="majorBidi"/>
          <w:rtl/>
        </w:rPr>
        <w:t>خارج اصول حضرت استاد درایتی</w:t>
      </w:r>
    </w:p>
    <w:p w14:paraId="0C6AC4C4" w14:textId="404712BA" w:rsidR="0088410E" w:rsidRPr="002D30C0" w:rsidRDefault="002D30C0">
      <w:pPr>
        <w:rPr>
          <w:rFonts w:asciiTheme="majorBidi" w:hAnsiTheme="majorBidi" w:cstheme="majorBidi"/>
        </w:rPr>
      </w:pPr>
      <w:r w:rsidRPr="002D30C0">
        <w:rPr>
          <w:rFonts w:asciiTheme="majorBidi" w:hAnsiTheme="majorBidi" w:cstheme="majorBidi"/>
          <w:rtl/>
        </w:rPr>
        <w:t>۱۱ مهر ماه ۱۴۰۱</w:t>
      </w:r>
    </w:p>
    <w:p w14:paraId="01A62E22" w14:textId="5EA5214D" w:rsidR="002D30C0" w:rsidRDefault="002D30C0">
      <w:pPr>
        <w:rPr>
          <w:rFonts w:asciiTheme="majorBidi" w:hAnsiTheme="majorBidi" w:cstheme="majorBidi"/>
        </w:rPr>
      </w:pPr>
      <w:r w:rsidRPr="002D30C0">
        <w:rPr>
          <w:rFonts w:asciiTheme="majorBidi" w:hAnsiTheme="majorBidi" w:cstheme="majorBidi"/>
          <w:rtl/>
        </w:rPr>
        <w:t>جلسه ۲</w:t>
      </w:r>
    </w:p>
    <w:p w14:paraId="7FFB7723" w14:textId="6D1676B1" w:rsidR="00904E76" w:rsidRDefault="00904E76">
      <w:pPr>
        <w:rPr>
          <w:rFonts w:asciiTheme="majorBidi" w:hAnsiTheme="majorBidi" w:cstheme="majorBidi"/>
        </w:rPr>
      </w:pPr>
    </w:p>
    <w:p w14:paraId="11D4639B" w14:textId="402160E4" w:rsidR="00904E76" w:rsidRDefault="00904E76">
      <w:pPr>
        <w:rPr>
          <w:rFonts w:asciiTheme="majorBidi" w:hAnsiTheme="majorBidi" w:cstheme="majorBidi"/>
        </w:rPr>
      </w:pPr>
      <w:r>
        <w:rPr>
          <w:rFonts w:asciiTheme="majorBidi" w:hAnsiTheme="majorBidi" w:cstheme="majorBidi"/>
          <w:rtl/>
        </w:rPr>
        <w:t xml:space="preserve">۳ </w:t>
      </w:r>
      <w:r w:rsidR="002C7794">
        <w:rPr>
          <w:rFonts w:asciiTheme="majorBidi" w:hAnsiTheme="majorBidi" w:cstheme="majorBidi"/>
          <w:rtl/>
        </w:rPr>
        <w:t>-</w:t>
      </w:r>
      <w:r>
        <w:rPr>
          <w:rFonts w:asciiTheme="majorBidi" w:hAnsiTheme="majorBidi" w:cstheme="majorBidi"/>
          <w:rtl/>
        </w:rPr>
        <w:t xml:space="preserve"> </w:t>
      </w:r>
      <w:r w:rsidR="00B85C91">
        <w:rPr>
          <w:rFonts w:asciiTheme="majorBidi" w:hAnsiTheme="majorBidi" w:cstheme="majorBidi"/>
          <w:rtl/>
        </w:rPr>
        <w:t xml:space="preserve">اثبات </w:t>
      </w:r>
      <w:r>
        <w:rPr>
          <w:rFonts w:asciiTheme="majorBidi" w:hAnsiTheme="majorBidi" w:cstheme="majorBidi"/>
          <w:rtl/>
        </w:rPr>
        <w:t xml:space="preserve">حجیت </w:t>
      </w:r>
      <w:r w:rsidR="00B85C91">
        <w:rPr>
          <w:rFonts w:asciiTheme="majorBidi" w:hAnsiTheme="majorBidi" w:cstheme="majorBidi"/>
          <w:rtl/>
        </w:rPr>
        <w:t>برای ظنون</w:t>
      </w:r>
      <w:r w:rsidR="00B773DB">
        <w:rPr>
          <w:rFonts w:asciiTheme="majorBidi" w:hAnsiTheme="majorBidi" w:cstheme="majorBidi"/>
          <w:rtl/>
        </w:rPr>
        <w:t xml:space="preserve">، دو تأثیر اساسی </w:t>
      </w:r>
      <w:r w:rsidR="0091374E">
        <w:rPr>
          <w:rFonts w:asciiTheme="majorBidi" w:hAnsiTheme="majorBidi" w:cstheme="majorBidi"/>
          <w:rtl/>
        </w:rPr>
        <w:t xml:space="preserve">در دو حوزه ی مختلف </w:t>
      </w:r>
      <w:r w:rsidR="00B773DB">
        <w:rPr>
          <w:rFonts w:asciiTheme="majorBidi" w:hAnsiTheme="majorBidi" w:cstheme="majorBidi"/>
          <w:rtl/>
        </w:rPr>
        <w:t>خواهد داشت</w:t>
      </w:r>
      <w:r w:rsidR="0011219E">
        <w:rPr>
          <w:rFonts w:asciiTheme="majorBidi" w:hAnsiTheme="majorBidi" w:cstheme="majorBidi"/>
          <w:rtl/>
        </w:rPr>
        <w:t xml:space="preserve"> :</w:t>
      </w:r>
    </w:p>
    <w:p w14:paraId="7C34DD36" w14:textId="5F6CD393" w:rsidR="0011219E" w:rsidRDefault="00525126" w:rsidP="0011219E">
      <w:pPr>
        <w:pStyle w:val="a3"/>
        <w:numPr>
          <w:ilvl w:val="0"/>
          <w:numId w:val="1"/>
        </w:numPr>
        <w:rPr>
          <w:rFonts w:asciiTheme="majorBidi" w:hAnsiTheme="majorBidi" w:cstheme="majorBidi"/>
        </w:rPr>
      </w:pPr>
      <w:r>
        <w:rPr>
          <w:rFonts w:asciiTheme="majorBidi" w:hAnsiTheme="majorBidi" w:cstheme="majorBidi"/>
          <w:rtl/>
        </w:rPr>
        <w:t xml:space="preserve">حوزه ی </w:t>
      </w:r>
      <w:r w:rsidR="007D2508">
        <w:rPr>
          <w:rFonts w:asciiTheme="majorBidi" w:hAnsiTheme="majorBidi" w:cstheme="majorBidi"/>
          <w:rtl/>
        </w:rPr>
        <w:t xml:space="preserve"> ثبوت تکلیف — </w:t>
      </w:r>
      <w:r w:rsidR="008A1A39">
        <w:rPr>
          <w:rFonts w:asciiTheme="majorBidi" w:hAnsiTheme="majorBidi" w:cstheme="majorBidi"/>
          <w:rtl/>
        </w:rPr>
        <w:t>حکم مظنون در حق مکلف</w:t>
      </w:r>
      <w:r w:rsidR="00F261ED">
        <w:rPr>
          <w:rFonts w:asciiTheme="majorBidi" w:hAnsiTheme="majorBidi" w:cstheme="majorBidi"/>
          <w:rtl/>
        </w:rPr>
        <w:t>، منجّز می باشد</w:t>
      </w:r>
      <w:r w:rsidR="007D2508">
        <w:rPr>
          <w:rFonts w:asciiTheme="majorBidi" w:hAnsiTheme="majorBidi" w:cstheme="majorBidi"/>
          <w:rtl/>
        </w:rPr>
        <w:t xml:space="preserve"> و ترک آن مستحق عقوبت است</w:t>
      </w:r>
      <w:r w:rsidR="00F261ED">
        <w:rPr>
          <w:rFonts w:asciiTheme="majorBidi" w:hAnsiTheme="majorBidi" w:cstheme="majorBidi"/>
          <w:rtl/>
        </w:rPr>
        <w:t>.</w:t>
      </w:r>
    </w:p>
    <w:p w14:paraId="084AD1BA" w14:textId="4BD3FDF8" w:rsidR="00571191" w:rsidRDefault="00525126" w:rsidP="006038B5">
      <w:pPr>
        <w:pStyle w:val="a3"/>
        <w:numPr>
          <w:ilvl w:val="0"/>
          <w:numId w:val="1"/>
        </w:numPr>
        <w:rPr>
          <w:rFonts w:asciiTheme="majorBidi" w:hAnsiTheme="majorBidi" w:cstheme="majorBidi"/>
        </w:rPr>
      </w:pPr>
      <w:r>
        <w:rPr>
          <w:rFonts w:asciiTheme="majorBidi" w:hAnsiTheme="majorBidi" w:cstheme="majorBidi"/>
          <w:rtl/>
        </w:rPr>
        <w:t>حوزه ی</w:t>
      </w:r>
      <w:r w:rsidR="007D2508">
        <w:rPr>
          <w:rFonts w:asciiTheme="majorBidi" w:hAnsiTheme="majorBidi" w:cstheme="majorBidi"/>
          <w:rtl/>
        </w:rPr>
        <w:t xml:space="preserve"> سقوط تکلیف — </w:t>
      </w:r>
      <w:r w:rsidR="00F261ED">
        <w:rPr>
          <w:rFonts w:asciiTheme="majorBidi" w:hAnsiTheme="majorBidi" w:cstheme="majorBidi"/>
          <w:rtl/>
        </w:rPr>
        <w:t>امتثال</w:t>
      </w:r>
      <w:r w:rsidR="007D2508">
        <w:rPr>
          <w:rFonts w:asciiTheme="majorBidi" w:hAnsiTheme="majorBidi" w:cstheme="majorBidi"/>
          <w:rtl/>
        </w:rPr>
        <w:t xml:space="preserve"> ظنی </w:t>
      </w:r>
      <w:r w:rsidR="00EE6533">
        <w:rPr>
          <w:rStyle w:val="a5"/>
          <w:rFonts w:asciiTheme="majorBidi" w:hAnsiTheme="majorBidi" w:cstheme="majorBidi"/>
          <w:rtl/>
        </w:rPr>
        <w:footnoteReference w:id="1"/>
      </w:r>
      <w:r w:rsidR="007D2508">
        <w:rPr>
          <w:rFonts w:asciiTheme="majorBidi" w:hAnsiTheme="majorBidi" w:cstheme="majorBidi"/>
          <w:rtl/>
        </w:rPr>
        <w:t xml:space="preserve"> و</w:t>
      </w:r>
      <w:r w:rsidR="00A70E4D">
        <w:rPr>
          <w:rFonts w:asciiTheme="majorBidi" w:hAnsiTheme="majorBidi" w:cstheme="majorBidi"/>
          <w:rtl/>
        </w:rPr>
        <w:t xml:space="preserve"> ظن</w:t>
      </w:r>
      <w:r w:rsidR="007D2508">
        <w:rPr>
          <w:rFonts w:asciiTheme="majorBidi" w:hAnsiTheme="majorBidi" w:cstheme="majorBidi"/>
          <w:rtl/>
        </w:rPr>
        <w:t xml:space="preserve"> به تأمین</w:t>
      </w:r>
      <w:r w:rsidR="00A70E4D">
        <w:rPr>
          <w:rFonts w:asciiTheme="majorBidi" w:hAnsiTheme="majorBidi" w:cstheme="majorBidi"/>
          <w:rtl/>
        </w:rPr>
        <w:t xml:space="preserve">، </w:t>
      </w:r>
      <w:r w:rsidR="001B59BD">
        <w:rPr>
          <w:rFonts w:asciiTheme="majorBidi" w:hAnsiTheme="majorBidi" w:cstheme="majorBidi"/>
          <w:rtl/>
        </w:rPr>
        <w:t>مستتبع</w:t>
      </w:r>
      <w:r w:rsidR="007D2508">
        <w:rPr>
          <w:rFonts w:asciiTheme="majorBidi" w:hAnsiTheme="majorBidi" w:cstheme="majorBidi"/>
        </w:rPr>
        <w:t xml:space="preserve"> </w:t>
      </w:r>
      <w:r w:rsidR="007D2508">
        <w:rPr>
          <w:rFonts w:asciiTheme="majorBidi" w:hAnsiTheme="majorBidi" w:cstheme="majorBidi"/>
          <w:rtl/>
        </w:rPr>
        <w:t xml:space="preserve">فراغ از تکلیف </w:t>
      </w:r>
      <w:r w:rsidR="0061657F">
        <w:rPr>
          <w:rFonts w:asciiTheme="majorBidi" w:hAnsiTheme="majorBidi" w:cstheme="majorBidi"/>
          <w:rtl/>
        </w:rPr>
        <w:t>یقینی</w:t>
      </w:r>
      <w:r w:rsidR="007D2508">
        <w:rPr>
          <w:rFonts w:asciiTheme="majorBidi" w:hAnsiTheme="majorBidi" w:cstheme="majorBidi"/>
          <w:rtl/>
        </w:rPr>
        <w:t xml:space="preserve"> می باشد.</w:t>
      </w:r>
    </w:p>
    <w:p w14:paraId="3A34080B" w14:textId="7C8917C1" w:rsidR="003A30EB" w:rsidRDefault="00C05254" w:rsidP="00D50B43">
      <w:pPr>
        <w:rPr>
          <w:rFonts w:asciiTheme="majorBidi" w:hAnsiTheme="majorBidi" w:cstheme="majorBidi"/>
        </w:rPr>
      </w:pPr>
      <w:r>
        <w:rPr>
          <w:rFonts w:asciiTheme="majorBidi" w:hAnsiTheme="majorBidi" w:cstheme="majorBidi"/>
          <w:rtl/>
        </w:rPr>
        <w:t xml:space="preserve">مرحوم </w:t>
      </w:r>
      <w:r w:rsidRPr="00CC5718">
        <w:rPr>
          <w:rFonts w:asciiTheme="majorBidi" w:hAnsiTheme="majorBidi" w:cstheme="majorBidi"/>
          <w:b/>
          <w:bCs/>
          <w:rtl/>
        </w:rPr>
        <w:t>آخوند</w:t>
      </w:r>
      <w:r>
        <w:rPr>
          <w:rFonts w:asciiTheme="majorBidi" w:hAnsiTheme="majorBidi" w:cstheme="majorBidi"/>
          <w:rtl/>
        </w:rPr>
        <w:t xml:space="preserve"> می فرماید</w:t>
      </w:r>
      <w:r w:rsidR="00CC5718">
        <w:rPr>
          <w:rFonts w:asciiTheme="majorBidi" w:hAnsiTheme="majorBidi" w:cstheme="majorBidi"/>
        </w:rPr>
        <w:t xml:space="preserve"> </w:t>
      </w:r>
      <w:r w:rsidR="00B13103">
        <w:rPr>
          <w:rFonts w:asciiTheme="majorBidi" w:hAnsiTheme="majorBidi" w:cstheme="majorBidi"/>
          <w:rtl/>
        </w:rPr>
        <w:t>نتیجه ی عدم حجیت ذاتی</w:t>
      </w:r>
      <w:r w:rsidR="00CC5718">
        <w:rPr>
          <w:rFonts w:asciiTheme="majorBidi" w:hAnsiTheme="majorBidi" w:cstheme="majorBidi"/>
          <w:rtl/>
        </w:rPr>
        <w:t xml:space="preserve"> ظن </w:t>
      </w:r>
      <w:r w:rsidR="00B13103">
        <w:rPr>
          <w:rFonts w:asciiTheme="majorBidi" w:hAnsiTheme="majorBidi" w:cstheme="majorBidi"/>
          <w:rtl/>
        </w:rPr>
        <w:t>آن است که ظن</w:t>
      </w:r>
      <w:r w:rsidR="00F50F42">
        <w:rPr>
          <w:rFonts w:asciiTheme="majorBidi" w:hAnsiTheme="majorBidi" w:cstheme="majorBidi"/>
          <w:rtl/>
        </w:rPr>
        <w:t xml:space="preserve"> نه تنها در حوزه ی ثبوت تکلیف بلکه حتی در حوزه سقوط تکلیف </w:t>
      </w:r>
      <w:r w:rsidR="00B13103">
        <w:rPr>
          <w:rFonts w:asciiTheme="majorBidi" w:hAnsiTheme="majorBidi" w:cstheme="majorBidi"/>
          <w:rtl/>
        </w:rPr>
        <w:t>نیز معتبر نمی باشد اما برخی</w:t>
      </w:r>
      <w:r w:rsidR="000C2BFD">
        <w:rPr>
          <w:rFonts w:asciiTheme="majorBidi" w:hAnsiTheme="majorBidi" w:cstheme="majorBidi"/>
          <w:rtl/>
        </w:rPr>
        <w:t xml:space="preserve"> </w:t>
      </w:r>
      <w:r w:rsidR="000C2BFD">
        <w:rPr>
          <w:rStyle w:val="a5"/>
          <w:rFonts w:asciiTheme="majorBidi" w:hAnsiTheme="majorBidi" w:cstheme="majorBidi"/>
          <w:rtl/>
        </w:rPr>
        <w:footnoteReference w:id="2"/>
      </w:r>
      <w:r w:rsidR="00BE7FC0">
        <w:rPr>
          <w:rFonts w:asciiTheme="majorBidi" w:hAnsiTheme="majorBidi" w:cstheme="majorBidi"/>
          <w:rtl/>
        </w:rPr>
        <w:t xml:space="preserve"> اعتبار ظن به سقوط تکلیف و تأمین از تکلیف متیقن را علی القاعده </w:t>
      </w:r>
      <w:r w:rsidR="00967932">
        <w:rPr>
          <w:rFonts w:asciiTheme="majorBidi" w:hAnsiTheme="majorBidi" w:cstheme="majorBidi"/>
          <w:rtl/>
        </w:rPr>
        <w:t xml:space="preserve">و غیر مرتبط به حوزه ی </w:t>
      </w:r>
      <w:r w:rsidR="000F142D">
        <w:rPr>
          <w:rFonts w:asciiTheme="majorBidi" w:hAnsiTheme="majorBidi" w:cstheme="majorBidi"/>
          <w:rtl/>
        </w:rPr>
        <w:t>مجزیت ظن دانسته</w:t>
      </w:r>
      <w:r w:rsidR="00BE7FC0">
        <w:rPr>
          <w:rFonts w:asciiTheme="majorBidi" w:hAnsiTheme="majorBidi" w:cstheme="majorBidi"/>
          <w:rtl/>
        </w:rPr>
        <w:t xml:space="preserve"> اند</w:t>
      </w:r>
      <w:r w:rsidR="000F142D">
        <w:rPr>
          <w:rFonts w:asciiTheme="majorBidi" w:hAnsiTheme="majorBidi" w:cstheme="majorBidi"/>
          <w:rtl/>
        </w:rPr>
        <w:t>.</w:t>
      </w:r>
      <w:r w:rsidR="004D514C">
        <w:rPr>
          <w:rFonts w:asciiTheme="majorBidi" w:hAnsiTheme="majorBidi" w:cstheme="majorBidi"/>
          <w:rtl/>
        </w:rPr>
        <w:t xml:space="preserve"> </w:t>
      </w:r>
      <w:r w:rsidR="001A29A1">
        <w:rPr>
          <w:rFonts w:asciiTheme="majorBidi" w:hAnsiTheme="majorBidi" w:cstheme="majorBidi"/>
          <w:rtl/>
        </w:rPr>
        <w:t xml:space="preserve">از منظر مرحوم </w:t>
      </w:r>
      <w:r w:rsidR="001A29A1" w:rsidRPr="001A29A1">
        <w:rPr>
          <w:rFonts w:asciiTheme="majorBidi" w:hAnsiTheme="majorBidi" w:cstheme="majorBidi"/>
          <w:b/>
          <w:bCs/>
          <w:rtl/>
        </w:rPr>
        <w:t>آخوند</w:t>
      </w:r>
      <w:r w:rsidR="001A29A1">
        <w:rPr>
          <w:rFonts w:asciiTheme="majorBidi" w:hAnsiTheme="majorBidi" w:cstheme="majorBidi"/>
          <w:rtl/>
        </w:rPr>
        <w:t xml:space="preserve"> </w:t>
      </w:r>
      <w:r w:rsidR="004D514C">
        <w:rPr>
          <w:rFonts w:asciiTheme="majorBidi" w:hAnsiTheme="majorBidi" w:cstheme="majorBidi"/>
          <w:rtl/>
        </w:rPr>
        <w:t>این قاعده مدّ نظر آن ها ممکن است</w:t>
      </w:r>
      <w:r w:rsidR="007620D1">
        <w:rPr>
          <w:rFonts w:asciiTheme="majorBidi" w:hAnsiTheme="majorBidi" w:cstheme="majorBidi"/>
          <w:rtl/>
        </w:rPr>
        <w:t xml:space="preserve"> عدم قبول وجوب دفع ضرر متحمل باشد زیرا</w:t>
      </w:r>
      <w:r w:rsidR="00015B30">
        <w:rPr>
          <w:rFonts w:asciiTheme="majorBidi" w:hAnsiTheme="majorBidi" w:cstheme="majorBidi"/>
          <w:rtl/>
        </w:rPr>
        <w:t xml:space="preserve"> هنگامی که مکلف</w:t>
      </w:r>
      <w:r w:rsidR="003A7002">
        <w:rPr>
          <w:rFonts w:asciiTheme="majorBidi" w:hAnsiTheme="majorBidi" w:cstheme="majorBidi"/>
          <w:rtl/>
        </w:rPr>
        <w:t xml:space="preserve"> در فرض ثبوت تکلیف، گمان به امتثال و سقوط آن </w:t>
      </w:r>
      <w:r w:rsidR="00ED78DB">
        <w:rPr>
          <w:rFonts w:asciiTheme="majorBidi" w:hAnsiTheme="majorBidi" w:cstheme="majorBidi"/>
          <w:rtl/>
        </w:rPr>
        <w:t xml:space="preserve">پیدا </w:t>
      </w:r>
      <w:r w:rsidR="001A29A1">
        <w:rPr>
          <w:rFonts w:asciiTheme="majorBidi" w:hAnsiTheme="majorBidi" w:cstheme="majorBidi"/>
          <w:rtl/>
        </w:rPr>
        <w:t>می کند</w:t>
      </w:r>
      <w:r w:rsidR="003A7002">
        <w:rPr>
          <w:rFonts w:asciiTheme="majorBidi" w:hAnsiTheme="majorBidi" w:cstheme="majorBidi"/>
          <w:rtl/>
        </w:rPr>
        <w:t xml:space="preserve">، </w:t>
      </w:r>
      <w:r w:rsidR="00CB72C8">
        <w:rPr>
          <w:rFonts w:asciiTheme="majorBidi" w:hAnsiTheme="majorBidi" w:cstheme="majorBidi"/>
          <w:rtl/>
        </w:rPr>
        <w:t xml:space="preserve">بر اساس وجود احتمال خلاف در امتثال، </w:t>
      </w:r>
      <w:r w:rsidR="00ED78DB">
        <w:rPr>
          <w:rFonts w:asciiTheme="majorBidi" w:hAnsiTheme="majorBidi" w:cstheme="majorBidi"/>
          <w:rtl/>
        </w:rPr>
        <w:t xml:space="preserve">کما کان </w:t>
      </w:r>
      <w:r w:rsidR="00CB72C8">
        <w:rPr>
          <w:rFonts w:asciiTheme="majorBidi" w:hAnsiTheme="majorBidi" w:cstheme="majorBidi"/>
          <w:rtl/>
        </w:rPr>
        <w:t xml:space="preserve">احتمال عقوبت </w:t>
      </w:r>
      <w:r w:rsidR="00B72A2A">
        <w:rPr>
          <w:rFonts w:asciiTheme="majorBidi" w:hAnsiTheme="majorBidi" w:cstheme="majorBidi"/>
          <w:rtl/>
        </w:rPr>
        <w:t xml:space="preserve">بر ترک تکلیف منجز </w:t>
      </w:r>
      <w:r w:rsidR="00C210A6">
        <w:rPr>
          <w:rFonts w:asciiTheme="majorBidi" w:hAnsiTheme="majorBidi" w:cstheme="majorBidi"/>
          <w:rtl/>
        </w:rPr>
        <w:t>وجود دارد</w:t>
      </w:r>
      <w:r w:rsidR="00CB72C8">
        <w:rPr>
          <w:rFonts w:asciiTheme="majorBidi" w:hAnsiTheme="majorBidi" w:cstheme="majorBidi"/>
          <w:rtl/>
        </w:rPr>
        <w:t xml:space="preserve"> اما از آنجا که</w:t>
      </w:r>
      <w:r w:rsidR="00C42C2F">
        <w:rPr>
          <w:rFonts w:asciiTheme="majorBidi" w:hAnsiTheme="majorBidi" w:cstheme="majorBidi"/>
          <w:rtl/>
        </w:rPr>
        <w:t xml:space="preserve"> دفع ضرر محتمل </w:t>
      </w:r>
      <w:r w:rsidR="000B6EF8">
        <w:rPr>
          <w:rFonts w:asciiTheme="majorBidi" w:hAnsiTheme="majorBidi" w:cstheme="majorBidi"/>
          <w:rtl/>
        </w:rPr>
        <w:t xml:space="preserve">واجب </w:t>
      </w:r>
      <w:r w:rsidR="00C42C2F">
        <w:rPr>
          <w:rFonts w:asciiTheme="majorBidi" w:hAnsiTheme="majorBidi" w:cstheme="majorBidi"/>
          <w:rtl/>
        </w:rPr>
        <w:t xml:space="preserve">نمی باشد، یقین به امتثال غیر ضروری و امتثال ظنی کافی خواهد </w:t>
      </w:r>
      <w:r w:rsidR="00F45847">
        <w:rPr>
          <w:rFonts w:asciiTheme="majorBidi" w:hAnsiTheme="majorBidi" w:cstheme="majorBidi"/>
          <w:rtl/>
        </w:rPr>
        <w:t>بود،</w:t>
      </w:r>
      <w:r w:rsidR="000B6EF8">
        <w:rPr>
          <w:rFonts w:asciiTheme="majorBidi" w:hAnsiTheme="majorBidi" w:cstheme="majorBidi"/>
        </w:rPr>
        <w:t xml:space="preserve"> </w:t>
      </w:r>
      <w:r w:rsidR="00F45847">
        <w:rPr>
          <w:rFonts w:asciiTheme="majorBidi" w:hAnsiTheme="majorBidi" w:cstheme="majorBidi"/>
          <w:rtl/>
        </w:rPr>
        <w:t>هرچند</w:t>
      </w:r>
      <w:r w:rsidR="00F45847">
        <w:rPr>
          <w:rFonts w:asciiTheme="majorBidi" w:hAnsiTheme="majorBidi" w:cstheme="majorBidi"/>
        </w:rPr>
        <w:t xml:space="preserve"> </w:t>
      </w:r>
      <w:r w:rsidR="00F45847">
        <w:rPr>
          <w:rFonts w:asciiTheme="majorBidi" w:hAnsiTheme="majorBidi" w:cstheme="majorBidi"/>
          <w:rtl/>
        </w:rPr>
        <w:t>که این وجه خالی از تأمل نیست.</w:t>
      </w:r>
      <w:r w:rsidR="0086274F">
        <w:rPr>
          <w:rFonts w:asciiTheme="majorBidi" w:hAnsiTheme="majorBidi" w:cstheme="majorBidi"/>
        </w:rPr>
        <w:t xml:space="preserve"> </w:t>
      </w:r>
      <w:r w:rsidR="00EB1A7A">
        <w:rPr>
          <w:rStyle w:val="a5"/>
          <w:rFonts w:asciiTheme="majorBidi" w:hAnsiTheme="majorBidi" w:cstheme="majorBidi"/>
        </w:rPr>
        <w:footnoteReference w:id="3"/>
      </w:r>
    </w:p>
    <w:p w14:paraId="36BB0E27" w14:textId="0B4D47BF" w:rsidR="003A30EB" w:rsidRDefault="00F55599" w:rsidP="001F727C">
      <w:pPr>
        <w:rPr>
          <w:rFonts w:asciiTheme="majorBidi" w:hAnsiTheme="majorBidi" w:cstheme="majorBidi"/>
        </w:rPr>
      </w:pPr>
      <w:r>
        <w:rPr>
          <w:rFonts w:asciiTheme="majorBidi" w:hAnsiTheme="majorBidi" w:cstheme="majorBidi"/>
          <w:rtl/>
        </w:rPr>
        <w:t xml:space="preserve">مرحوم آیت الله </w:t>
      </w:r>
      <w:r w:rsidR="0086274F">
        <w:rPr>
          <w:rFonts w:asciiTheme="majorBidi" w:hAnsiTheme="majorBidi" w:cstheme="majorBidi"/>
          <w:b/>
          <w:bCs/>
          <w:rtl/>
        </w:rPr>
        <w:t>خوئ</w:t>
      </w:r>
      <w:r w:rsidRPr="00840720">
        <w:rPr>
          <w:rFonts w:asciiTheme="majorBidi" w:hAnsiTheme="majorBidi" w:cstheme="majorBidi"/>
          <w:b/>
          <w:bCs/>
          <w:rtl/>
        </w:rPr>
        <w:t>ی</w:t>
      </w:r>
      <w:r>
        <w:rPr>
          <w:rFonts w:asciiTheme="majorBidi" w:hAnsiTheme="majorBidi" w:cstheme="majorBidi"/>
          <w:rtl/>
        </w:rPr>
        <w:t xml:space="preserve"> می فرمایند</w:t>
      </w:r>
      <w:r w:rsidR="00525126">
        <w:rPr>
          <w:rFonts w:asciiTheme="majorBidi" w:hAnsiTheme="majorBidi" w:cstheme="majorBidi"/>
          <w:rtl/>
        </w:rPr>
        <w:t xml:space="preserve"> </w:t>
      </w:r>
      <w:r w:rsidR="007264FE">
        <w:rPr>
          <w:rFonts w:asciiTheme="majorBidi" w:hAnsiTheme="majorBidi" w:cstheme="majorBidi"/>
          <w:rtl/>
        </w:rPr>
        <w:t xml:space="preserve">نسبت به وجه تأمل مرحوم </w:t>
      </w:r>
      <w:r w:rsidR="007264FE" w:rsidRPr="007264FE">
        <w:rPr>
          <w:rFonts w:asciiTheme="majorBidi" w:hAnsiTheme="majorBidi" w:cstheme="majorBidi"/>
          <w:b/>
          <w:bCs/>
          <w:rtl/>
        </w:rPr>
        <w:t>آخوند</w:t>
      </w:r>
      <w:r w:rsidR="007264FE">
        <w:rPr>
          <w:rFonts w:asciiTheme="majorBidi" w:hAnsiTheme="majorBidi" w:cstheme="majorBidi"/>
          <w:rtl/>
        </w:rPr>
        <w:t xml:space="preserve"> دو نکته وجود دارد:</w:t>
      </w:r>
      <w:r w:rsidR="001C0AFF">
        <w:rPr>
          <w:rFonts w:asciiTheme="majorBidi" w:hAnsiTheme="majorBidi" w:cstheme="majorBidi"/>
          <w:rtl/>
        </w:rPr>
        <w:t xml:space="preserve"> اولا</w:t>
      </w:r>
      <w:r w:rsidR="001C0AFF">
        <w:rPr>
          <w:rFonts w:asciiTheme="majorBidi" w:hAnsiTheme="majorBidi" w:cstheme="majorBidi"/>
        </w:rPr>
        <w:t xml:space="preserve"> </w:t>
      </w:r>
      <w:r w:rsidR="001C0AFF">
        <w:rPr>
          <w:rFonts w:asciiTheme="majorBidi" w:hAnsiTheme="majorBidi" w:cstheme="majorBidi"/>
          <w:rtl/>
        </w:rPr>
        <w:t>اگر مبنای</w:t>
      </w:r>
      <w:r w:rsidR="002449BA">
        <w:rPr>
          <w:rFonts w:asciiTheme="majorBidi" w:hAnsiTheme="majorBidi" w:cstheme="majorBidi"/>
          <w:rtl/>
        </w:rPr>
        <w:t xml:space="preserve"> حجیت ظن در حوزه ی امتثال، عدم قبول وجوب دفع ضرر محتمل باشد همانا باید</w:t>
      </w:r>
      <w:r w:rsidR="001A29A1">
        <w:rPr>
          <w:rFonts w:asciiTheme="majorBidi" w:hAnsiTheme="majorBidi" w:cstheme="majorBidi"/>
          <w:rtl/>
        </w:rPr>
        <w:t xml:space="preserve"> امتثال احتمالی نیز</w:t>
      </w:r>
      <w:r w:rsidR="00415CEB">
        <w:rPr>
          <w:rFonts w:asciiTheme="majorBidi" w:hAnsiTheme="majorBidi" w:cstheme="majorBidi"/>
          <w:rtl/>
        </w:rPr>
        <w:t xml:space="preserve"> معتبر شمرده شود زیرا با اقدام به امتثال احتمالی نیز</w:t>
      </w:r>
      <w:r w:rsidR="00871397">
        <w:rPr>
          <w:rFonts w:asciiTheme="majorBidi" w:hAnsiTheme="majorBidi" w:cstheme="majorBidi"/>
          <w:rtl/>
        </w:rPr>
        <w:t xml:space="preserve"> ضرر عقوبت از مرتبه حتم و یقین به مرتبه احتمال تنزل می یابد </w:t>
      </w:r>
      <w:r w:rsidR="00871397">
        <w:rPr>
          <w:rStyle w:val="a5"/>
          <w:rFonts w:asciiTheme="majorBidi" w:hAnsiTheme="majorBidi" w:cstheme="majorBidi"/>
          <w:rtl/>
        </w:rPr>
        <w:footnoteReference w:id="4"/>
      </w:r>
      <w:r w:rsidR="001F727C">
        <w:rPr>
          <w:rFonts w:asciiTheme="majorBidi" w:hAnsiTheme="majorBidi" w:cstheme="majorBidi"/>
        </w:rPr>
        <w:t xml:space="preserve">. </w:t>
      </w:r>
      <w:r w:rsidR="001F727C">
        <w:rPr>
          <w:rFonts w:asciiTheme="majorBidi" w:hAnsiTheme="majorBidi" w:cstheme="majorBidi"/>
          <w:rtl/>
        </w:rPr>
        <w:t xml:space="preserve"> ثانیا</w:t>
      </w:r>
      <w:r w:rsidR="00E1341D">
        <w:rPr>
          <w:rFonts w:asciiTheme="majorBidi" w:hAnsiTheme="majorBidi" w:cstheme="majorBidi"/>
          <w:rtl/>
        </w:rPr>
        <w:t xml:space="preserve"> اساسا نقض و ابرام</w:t>
      </w:r>
      <w:r w:rsidR="008562F1">
        <w:rPr>
          <w:rFonts w:asciiTheme="majorBidi" w:hAnsiTheme="majorBidi" w:cstheme="majorBidi"/>
          <w:rtl/>
        </w:rPr>
        <w:t xml:space="preserve"> عقلاء</w:t>
      </w:r>
      <w:r w:rsidR="00E1341D">
        <w:rPr>
          <w:rFonts w:asciiTheme="majorBidi" w:hAnsiTheme="majorBidi" w:cstheme="majorBidi"/>
          <w:rtl/>
        </w:rPr>
        <w:t xml:space="preserve"> در </w:t>
      </w:r>
      <w:r w:rsidR="00E255EC">
        <w:rPr>
          <w:rFonts w:asciiTheme="majorBidi" w:hAnsiTheme="majorBidi" w:cstheme="majorBidi"/>
          <w:rtl/>
        </w:rPr>
        <w:t>قاعده</w:t>
      </w:r>
      <w:r w:rsidR="008562F1">
        <w:rPr>
          <w:rFonts w:asciiTheme="majorBidi" w:hAnsiTheme="majorBidi" w:cstheme="majorBidi"/>
          <w:rtl/>
        </w:rPr>
        <w:t xml:space="preserve"> ی</w:t>
      </w:r>
      <w:r w:rsidR="00E255EC">
        <w:rPr>
          <w:rFonts w:asciiTheme="majorBidi" w:hAnsiTheme="majorBidi" w:cstheme="majorBidi"/>
          <w:rtl/>
        </w:rPr>
        <w:t xml:space="preserve"> وجوب دفع ضرر محتمل ناظر بر</w:t>
      </w:r>
      <w:r w:rsidR="008562F1">
        <w:rPr>
          <w:rFonts w:asciiTheme="majorBidi" w:hAnsiTheme="majorBidi" w:cstheme="majorBidi"/>
          <w:rtl/>
        </w:rPr>
        <w:t xml:space="preserve"> ضررهای دنیوی است</w:t>
      </w:r>
      <w:r w:rsidR="00851AD1">
        <w:rPr>
          <w:rFonts w:asciiTheme="majorBidi" w:hAnsiTheme="majorBidi" w:cstheme="majorBidi"/>
          <w:rtl/>
        </w:rPr>
        <w:t xml:space="preserve"> </w:t>
      </w:r>
      <w:r w:rsidR="00851AD1">
        <w:rPr>
          <w:rStyle w:val="a5"/>
          <w:rFonts w:asciiTheme="majorBidi" w:hAnsiTheme="majorBidi" w:cstheme="majorBidi"/>
          <w:rtl/>
        </w:rPr>
        <w:footnoteReference w:id="5"/>
      </w:r>
      <w:r w:rsidR="008562F1">
        <w:rPr>
          <w:rFonts w:asciiTheme="majorBidi" w:hAnsiTheme="majorBidi" w:cstheme="majorBidi"/>
          <w:rtl/>
        </w:rPr>
        <w:t xml:space="preserve"> و الا همگان نسبت به لزوم دفع ضررهای اخروی اتفاق نظر دارند و احتمال</w:t>
      </w:r>
      <w:r w:rsidR="009B52C8">
        <w:rPr>
          <w:rFonts w:asciiTheme="majorBidi" w:hAnsiTheme="majorBidi" w:cstheme="majorBidi"/>
          <w:rtl/>
        </w:rPr>
        <w:t xml:space="preserve"> هرگونه</w:t>
      </w:r>
      <w:r w:rsidR="008562F1">
        <w:rPr>
          <w:rFonts w:asciiTheme="majorBidi" w:hAnsiTheme="majorBidi" w:cstheme="majorBidi"/>
          <w:rtl/>
        </w:rPr>
        <w:t xml:space="preserve"> ضرر در مقیاس آخرت را واجب الدفع می دانند</w:t>
      </w:r>
      <w:r w:rsidR="00213F1F">
        <w:rPr>
          <w:rFonts w:asciiTheme="majorBidi" w:hAnsiTheme="majorBidi" w:cstheme="majorBidi"/>
          <w:rtl/>
        </w:rPr>
        <w:t xml:space="preserve"> و لذا</w:t>
      </w:r>
      <w:r w:rsidR="00B35DFA">
        <w:rPr>
          <w:rFonts w:asciiTheme="majorBidi" w:hAnsiTheme="majorBidi" w:cstheme="majorBidi"/>
          <w:rtl/>
        </w:rPr>
        <w:t xml:space="preserve"> </w:t>
      </w:r>
      <w:r w:rsidR="0091374E">
        <w:rPr>
          <w:rFonts w:asciiTheme="majorBidi" w:hAnsiTheme="majorBidi" w:cstheme="majorBidi"/>
          <w:rtl/>
        </w:rPr>
        <w:t>فحص در شبهات حکمیه از نظر همه واجب می باشد</w:t>
      </w:r>
      <w:r w:rsidR="008562F1">
        <w:rPr>
          <w:rFonts w:asciiTheme="majorBidi" w:hAnsiTheme="majorBidi" w:cstheme="majorBidi"/>
          <w:rtl/>
        </w:rPr>
        <w:t>.</w:t>
      </w:r>
      <w:r w:rsidR="009B52C8">
        <w:rPr>
          <w:rFonts w:asciiTheme="majorBidi" w:hAnsiTheme="majorBidi" w:cstheme="majorBidi"/>
        </w:rPr>
        <w:t xml:space="preserve"> </w:t>
      </w:r>
      <w:r w:rsidR="009B52C8">
        <w:rPr>
          <w:rFonts w:asciiTheme="majorBidi" w:hAnsiTheme="majorBidi" w:cstheme="majorBidi"/>
          <w:rtl/>
        </w:rPr>
        <w:t xml:space="preserve">بنابراین </w:t>
      </w:r>
      <w:r w:rsidR="008F7716">
        <w:rPr>
          <w:rFonts w:asciiTheme="majorBidi" w:hAnsiTheme="majorBidi" w:cstheme="majorBidi"/>
          <w:rtl/>
        </w:rPr>
        <w:t>کافی بودن امتثال</w:t>
      </w:r>
      <w:r w:rsidR="008F7716">
        <w:rPr>
          <w:rFonts w:asciiTheme="majorBidi" w:hAnsiTheme="majorBidi" w:cstheme="majorBidi"/>
        </w:rPr>
        <w:t xml:space="preserve"> </w:t>
      </w:r>
      <w:r w:rsidR="008F7716">
        <w:rPr>
          <w:rFonts w:asciiTheme="majorBidi" w:hAnsiTheme="majorBidi" w:cstheme="majorBidi"/>
          <w:rtl/>
        </w:rPr>
        <w:t>ظنی زمانی می تواند</w:t>
      </w:r>
      <w:r w:rsidR="001E0724">
        <w:rPr>
          <w:rFonts w:asciiTheme="majorBidi" w:hAnsiTheme="majorBidi" w:cstheme="majorBidi"/>
          <w:rtl/>
        </w:rPr>
        <w:t xml:space="preserve"> نتیجه ی </w:t>
      </w:r>
      <w:r w:rsidR="00836281">
        <w:rPr>
          <w:rFonts w:asciiTheme="majorBidi" w:hAnsiTheme="majorBidi" w:cstheme="majorBidi"/>
          <w:rtl/>
        </w:rPr>
        <w:t>عدم وجوب دفع ضرر محتمل</w:t>
      </w:r>
      <w:r w:rsidR="00836281">
        <w:rPr>
          <w:rFonts w:asciiTheme="majorBidi" w:hAnsiTheme="majorBidi" w:cstheme="majorBidi"/>
        </w:rPr>
        <w:t xml:space="preserve"> </w:t>
      </w:r>
      <w:r w:rsidR="00836281">
        <w:rPr>
          <w:rFonts w:asciiTheme="majorBidi" w:hAnsiTheme="majorBidi" w:cstheme="majorBidi"/>
          <w:rtl/>
        </w:rPr>
        <w:t>تلقی شود که</w:t>
      </w:r>
      <w:r w:rsidR="003A0682">
        <w:rPr>
          <w:rFonts w:asciiTheme="majorBidi" w:hAnsiTheme="majorBidi" w:cstheme="majorBidi"/>
          <w:rtl/>
        </w:rPr>
        <w:t xml:space="preserve"> احتمال</w:t>
      </w:r>
      <w:r w:rsidR="00386B08">
        <w:rPr>
          <w:rFonts w:asciiTheme="majorBidi" w:hAnsiTheme="majorBidi" w:cstheme="majorBidi"/>
          <w:rtl/>
        </w:rPr>
        <w:t xml:space="preserve"> ضرر مدّ نظر</w:t>
      </w:r>
      <w:r w:rsidR="00A909F1">
        <w:rPr>
          <w:rFonts w:asciiTheme="majorBidi" w:hAnsiTheme="majorBidi" w:cstheme="majorBidi"/>
          <w:rtl/>
        </w:rPr>
        <w:t xml:space="preserve"> در</w:t>
      </w:r>
      <w:r w:rsidR="00386B08">
        <w:rPr>
          <w:rFonts w:asciiTheme="majorBidi" w:hAnsiTheme="majorBidi" w:cstheme="majorBidi"/>
          <w:rtl/>
        </w:rPr>
        <w:t xml:space="preserve"> این قاعده را اعم از ضررهای دنیوی و أخروی</w:t>
      </w:r>
      <w:r w:rsidR="00D50B43">
        <w:rPr>
          <w:rFonts w:asciiTheme="majorBidi" w:hAnsiTheme="majorBidi" w:cstheme="majorBidi"/>
          <w:rtl/>
        </w:rPr>
        <w:t xml:space="preserve"> بدانیم در حالی که کسی چنین ادعایی ننموده است.</w:t>
      </w:r>
      <w:r w:rsidR="0086274F">
        <w:rPr>
          <w:rFonts w:asciiTheme="majorBidi" w:hAnsiTheme="majorBidi" w:cstheme="majorBidi"/>
        </w:rPr>
        <w:t xml:space="preserve"> </w:t>
      </w:r>
      <w:r w:rsidR="0086274F">
        <w:rPr>
          <w:rStyle w:val="a5"/>
          <w:rFonts w:asciiTheme="majorBidi" w:hAnsiTheme="majorBidi" w:cstheme="majorBidi"/>
        </w:rPr>
        <w:footnoteReference w:id="6"/>
      </w:r>
    </w:p>
    <w:p w14:paraId="2B3C1A0C" w14:textId="3BBFFF79" w:rsidR="003A0682" w:rsidRDefault="003A0682" w:rsidP="003A30EB">
      <w:pPr>
        <w:rPr>
          <w:rFonts w:asciiTheme="majorBidi" w:hAnsiTheme="majorBidi" w:cstheme="majorBidi"/>
        </w:rPr>
      </w:pPr>
    </w:p>
    <w:p w14:paraId="4FB898E0" w14:textId="28F1CF52" w:rsidR="003A0682" w:rsidRDefault="003A0682" w:rsidP="003A30EB">
      <w:pPr>
        <w:rPr>
          <w:rFonts w:asciiTheme="majorBidi" w:hAnsiTheme="majorBidi" w:cstheme="majorBidi"/>
        </w:rPr>
      </w:pPr>
      <w:r w:rsidRPr="003A0682">
        <w:rPr>
          <w:rFonts w:asciiTheme="majorBidi" w:hAnsiTheme="majorBidi" w:cstheme="majorBidi"/>
          <w:b/>
          <w:bCs/>
          <w:rtl/>
        </w:rPr>
        <w:t>اشکال</w:t>
      </w:r>
    </w:p>
    <w:p w14:paraId="22F187E2" w14:textId="43995824" w:rsidR="00F74E84" w:rsidRDefault="003A0682" w:rsidP="00C360CD">
      <w:pPr>
        <w:rPr>
          <w:rFonts w:asciiTheme="majorBidi" w:hAnsiTheme="majorBidi" w:cstheme="majorBidi"/>
        </w:rPr>
      </w:pPr>
      <w:r>
        <w:rPr>
          <w:rFonts w:asciiTheme="majorBidi" w:hAnsiTheme="majorBidi" w:cstheme="majorBidi"/>
          <w:rtl/>
        </w:rPr>
        <w:lastRenderedPageBreak/>
        <w:t xml:space="preserve">مرحوم </w:t>
      </w:r>
      <w:r w:rsidRPr="003A0682">
        <w:rPr>
          <w:rFonts w:asciiTheme="majorBidi" w:hAnsiTheme="majorBidi" w:cstheme="majorBidi"/>
          <w:b/>
          <w:bCs/>
          <w:rtl/>
        </w:rPr>
        <w:t>صدر</w:t>
      </w:r>
      <w:r>
        <w:rPr>
          <w:rFonts w:asciiTheme="majorBidi" w:hAnsiTheme="majorBidi" w:cstheme="majorBidi"/>
          <w:rtl/>
        </w:rPr>
        <w:t xml:space="preserve"> می فرماید</w:t>
      </w:r>
      <w:r>
        <w:rPr>
          <w:rFonts w:asciiTheme="majorBidi" w:hAnsiTheme="majorBidi" w:cstheme="majorBidi"/>
        </w:rPr>
        <w:t xml:space="preserve"> </w:t>
      </w:r>
      <w:r>
        <w:rPr>
          <w:rFonts w:asciiTheme="majorBidi" w:hAnsiTheme="majorBidi" w:cstheme="majorBidi"/>
          <w:rtl/>
        </w:rPr>
        <w:t>اصل</w:t>
      </w:r>
      <w:r w:rsidR="009016FF">
        <w:rPr>
          <w:rFonts w:asciiTheme="majorBidi" w:hAnsiTheme="majorBidi" w:cstheme="majorBidi"/>
          <w:rtl/>
        </w:rPr>
        <w:t xml:space="preserve"> تفریع</w:t>
      </w:r>
      <w:r w:rsidR="00F00711">
        <w:rPr>
          <w:rFonts w:asciiTheme="majorBidi" w:hAnsiTheme="majorBidi" w:cstheme="majorBidi"/>
          <w:rtl/>
        </w:rPr>
        <w:t xml:space="preserve"> اعتبار امتثال ظنی بر قاعده عدم وجوب دفع ضرر محتمل</w:t>
      </w:r>
      <w:r w:rsidR="00B1164B">
        <w:rPr>
          <w:rFonts w:asciiTheme="majorBidi" w:hAnsiTheme="majorBidi" w:cstheme="majorBidi"/>
          <w:rtl/>
        </w:rPr>
        <w:t xml:space="preserve"> و ادعای تلازم بین آن ها</w:t>
      </w:r>
      <w:r w:rsidR="00F00711">
        <w:rPr>
          <w:rFonts w:asciiTheme="majorBidi" w:hAnsiTheme="majorBidi" w:cstheme="majorBidi"/>
          <w:rtl/>
        </w:rPr>
        <w:t xml:space="preserve">، </w:t>
      </w:r>
      <w:r w:rsidR="00845C2E">
        <w:rPr>
          <w:rFonts w:asciiTheme="majorBidi" w:hAnsiTheme="majorBidi" w:cstheme="majorBidi"/>
          <w:rtl/>
        </w:rPr>
        <w:t xml:space="preserve">خطأ </w:t>
      </w:r>
      <w:r w:rsidR="00B1164B">
        <w:rPr>
          <w:rFonts w:asciiTheme="majorBidi" w:hAnsiTheme="majorBidi" w:cstheme="majorBidi"/>
          <w:rtl/>
        </w:rPr>
        <w:t xml:space="preserve">و ناتمام </w:t>
      </w:r>
      <w:r w:rsidR="00845C2E">
        <w:rPr>
          <w:rFonts w:asciiTheme="majorBidi" w:hAnsiTheme="majorBidi" w:cstheme="majorBidi"/>
          <w:rtl/>
        </w:rPr>
        <w:t>است اگرچه که</w:t>
      </w:r>
      <w:r w:rsidR="007264FE">
        <w:rPr>
          <w:rFonts w:asciiTheme="majorBidi" w:hAnsiTheme="majorBidi" w:cstheme="majorBidi"/>
          <w:rtl/>
        </w:rPr>
        <w:t xml:space="preserve"> گویا</w:t>
      </w:r>
      <w:r w:rsidR="00845C2E">
        <w:rPr>
          <w:rFonts w:asciiTheme="majorBidi" w:hAnsiTheme="majorBidi" w:cstheme="majorBidi"/>
          <w:rtl/>
        </w:rPr>
        <w:t xml:space="preserve"> اصل این</w:t>
      </w:r>
      <w:r w:rsidR="0067360C">
        <w:rPr>
          <w:rFonts w:asciiTheme="majorBidi" w:hAnsiTheme="majorBidi" w:cstheme="majorBidi"/>
          <w:rtl/>
        </w:rPr>
        <w:t xml:space="preserve"> </w:t>
      </w:r>
      <w:r w:rsidR="00F34A15">
        <w:rPr>
          <w:rFonts w:asciiTheme="majorBidi" w:hAnsiTheme="majorBidi" w:cstheme="majorBidi"/>
          <w:rtl/>
        </w:rPr>
        <w:t>ملازمه</w:t>
      </w:r>
      <w:r w:rsidR="0067360C">
        <w:rPr>
          <w:rFonts w:asciiTheme="majorBidi" w:hAnsiTheme="majorBidi" w:cstheme="majorBidi"/>
          <w:rtl/>
        </w:rPr>
        <w:t xml:space="preserve"> </w:t>
      </w:r>
      <w:r w:rsidR="007264FE">
        <w:rPr>
          <w:rFonts w:asciiTheme="majorBidi" w:hAnsiTheme="majorBidi" w:cstheme="majorBidi"/>
          <w:rtl/>
        </w:rPr>
        <w:t xml:space="preserve">و توقف </w:t>
      </w:r>
      <w:r w:rsidR="008A11F6">
        <w:rPr>
          <w:rFonts w:asciiTheme="majorBidi" w:hAnsiTheme="majorBidi" w:cstheme="majorBidi"/>
          <w:rtl/>
        </w:rPr>
        <w:t>م</w:t>
      </w:r>
      <w:r w:rsidR="0067360C">
        <w:rPr>
          <w:rFonts w:asciiTheme="majorBidi" w:hAnsiTheme="majorBidi" w:cstheme="majorBidi"/>
          <w:rtl/>
        </w:rPr>
        <w:t>قبول</w:t>
      </w:r>
      <w:r w:rsidR="00845C2E">
        <w:rPr>
          <w:rFonts w:asciiTheme="majorBidi" w:hAnsiTheme="majorBidi" w:cstheme="majorBidi"/>
          <w:rtl/>
        </w:rPr>
        <w:t xml:space="preserve"> مرحوم آیت الله </w:t>
      </w:r>
      <w:r w:rsidR="008A11F6">
        <w:rPr>
          <w:rFonts w:asciiTheme="majorBidi" w:hAnsiTheme="majorBidi" w:cstheme="majorBidi"/>
          <w:b/>
          <w:bCs/>
          <w:rtl/>
        </w:rPr>
        <w:t>خوئ</w:t>
      </w:r>
      <w:r w:rsidR="00845C2E" w:rsidRPr="008A11F6">
        <w:rPr>
          <w:rFonts w:asciiTheme="majorBidi" w:hAnsiTheme="majorBidi" w:cstheme="majorBidi"/>
          <w:b/>
          <w:bCs/>
          <w:rtl/>
        </w:rPr>
        <w:t>ی</w:t>
      </w:r>
      <w:r w:rsidR="00845C2E">
        <w:rPr>
          <w:rFonts w:asciiTheme="majorBidi" w:hAnsiTheme="majorBidi" w:cstheme="majorBidi"/>
          <w:rtl/>
        </w:rPr>
        <w:t xml:space="preserve"> </w:t>
      </w:r>
      <w:r w:rsidR="00F34A15">
        <w:rPr>
          <w:rFonts w:asciiTheme="majorBidi" w:hAnsiTheme="majorBidi" w:cstheme="majorBidi"/>
          <w:rtl/>
        </w:rPr>
        <w:t>واقع شده است، زیرا</w:t>
      </w:r>
      <w:r w:rsidR="008A11F6">
        <w:rPr>
          <w:rFonts w:asciiTheme="majorBidi" w:hAnsiTheme="majorBidi" w:cstheme="majorBidi"/>
        </w:rPr>
        <w:t xml:space="preserve"> </w:t>
      </w:r>
      <w:r w:rsidR="005E1330">
        <w:rPr>
          <w:rFonts w:asciiTheme="majorBidi" w:hAnsiTheme="majorBidi" w:cstheme="majorBidi"/>
          <w:rtl/>
        </w:rPr>
        <w:t>وجوب دفع ضرر محتمل در مواردی جاری</w:t>
      </w:r>
      <w:r w:rsidR="00E54C5D">
        <w:rPr>
          <w:rFonts w:asciiTheme="majorBidi" w:hAnsiTheme="majorBidi" w:cstheme="majorBidi"/>
          <w:rtl/>
        </w:rPr>
        <w:t xml:space="preserve"> خواهد بود که سابق بر آن تکلیف منجزی وجود داشته باشد تا در مقام امتثال</w:t>
      </w:r>
      <w:r w:rsidR="001D7136">
        <w:rPr>
          <w:rFonts w:asciiTheme="majorBidi" w:hAnsiTheme="majorBidi" w:cstheme="majorBidi"/>
          <w:rtl/>
        </w:rPr>
        <w:t>، از وجوب و عدم وجوب دفع ضرر محتمل سخن به میان آید</w:t>
      </w:r>
      <w:r w:rsidR="00A24B01">
        <w:rPr>
          <w:rFonts w:asciiTheme="majorBidi" w:hAnsiTheme="majorBidi" w:cstheme="majorBidi"/>
          <w:rtl/>
        </w:rPr>
        <w:t>. بنابراین اثبات منجزیت</w:t>
      </w:r>
      <w:r w:rsidR="007724A2">
        <w:rPr>
          <w:rFonts w:asciiTheme="majorBidi" w:hAnsiTheme="majorBidi" w:cstheme="majorBidi"/>
          <w:rtl/>
        </w:rPr>
        <w:t xml:space="preserve"> تکلیف پس از امتثال</w:t>
      </w:r>
      <w:r w:rsidR="00A24B01">
        <w:rPr>
          <w:rFonts w:asciiTheme="majorBidi" w:hAnsiTheme="majorBidi" w:cstheme="majorBidi"/>
          <w:rtl/>
        </w:rPr>
        <w:t xml:space="preserve"> </w:t>
      </w:r>
      <w:r w:rsidR="007724A2">
        <w:rPr>
          <w:rFonts w:asciiTheme="majorBidi" w:hAnsiTheme="majorBidi" w:cstheme="majorBidi"/>
          <w:rtl/>
        </w:rPr>
        <w:t>ظنی</w:t>
      </w:r>
      <w:r w:rsidR="00A24B01">
        <w:rPr>
          <w:rFonts w:asciiTheme="majorBidi" w:hAnsiTheme="majorBidi" w:cstheme="majorBidi"/>
          <w:rtl/>
        </w:rPr>
        <w:t xml:space="preserve"> از </w:t>
      </w:r>
      <w:r w:rsidR="00A00382">
        <w:rPr>
          <w:rFonts w:asciiTheme="majorBidi" w:hAnsiTheme="majorBidi" w:cstheme="majorBidi"/>
          <w:rtl/>
        </w:rPr>
        <w:t>طریق این قاعده مستحیل خواهد بود زیرا منجزیت تکلیف</w:t>
      </w:r>
      <w:r w:rsidR="007724A2">
        <w:rPr>
          <w:rFonts w:asciiTheme="majorBidi" w:hAnsiTheme="majorBidi" w:cstheme="majorBidi"/>
          <w:rtl/>
        </w:rPr>
        <w:t>،</w:t>
      </w:r>
      <w:r w:rsidR="00A00382">
        <w:rPr>
          <w:rFonts w:asciiTheme="majorBidi" w:hAnsiTheme="majorBidi" w:cstheme="majorBidi"/>
          <w:rtl/>
        </w:rPr>
        <w:t xml:space="preserve"> سابق بر آن است نه لاحق بر آن و در فرض عدم علم به تنجز تکلیف، اساسا</w:t>
      </w:r>
      <w:r w:rsidR="00AC145F">
        <w:rPr>
          <w:rFonts w:asciiTheme="majorBidi" w:hAnsiTheme="majorBidi" w:cstheme="majorBidi"/>
          <w:rtl/>
        </w:rPr>
        <w:t xml:space="preserve"> عقوبتی</w:t>
      </w:r>
      <w:r w:rsidR="00632E4C">
        <w:rPr>
          <w:rFonts w:asciiTheme="majorBidi" w:hAnsiTheme="majorBidi" w:cstheme="majorBidi"/>
          <w:rtl/>
        </w:rPr>
        <w:t xml:space="preserve"> متوجه مکلف نیست</w:t>
      </w:r>
      <w:r w:rsidR="00AC145F">
        <w:rPr>
          <w:rFonts w:asciiTheme="majorBidi" w:hAnsiTheme="majorBidi" w:cstheme="majorBidi"/>
          <w:rtl/>
        </w:rPr>
        <w:t xml:space="preserve"> تا </w:t>
      </w:r>
      <w:r w:rsidR="004F1EC2">
        <w:rPr>
          <w:rFonts w:asciiTheme="majorBidi" w:hAnsiTheme="majorBidi" w:cstheme="majorBidi"/>
          <w:rtl/>
        </w:rPr>
        <w:t>نسبت به</w:t>
      </w:r>
      <w:r w:rsidR="00AC145F">
        <w:rPr>
          <w:rFonts w:asciiTheme="majorBidi" w:hAnsiTheme="majorBidi" w:cstheme="majorBidi"/>
          <w:rtl/>
        </w:rPr>
        <w:t xml:space="preserve"> وجوب یا عدم </w:t>
      </w:r>
      <w:r w:rsidR="00707DF1">
        <w:rPr>
          <w:rFonts w:asciiTheme="majorBidi" w:hAnsiTheme="majorBidi" w:cstheme="majorBidi"/>
          <w:rtl/>
        </w:rPr>
        <w:t xml:space="preserve">وجوب دفع آن </w:t>
      </w:r>
      <w:r w:rsidR="004F1EC2">
        <w:rPr>
          <w:rFonts w:asciiTheme="majorBidi" w:hAnsiTheme="majorBidi" w:cstheme="majorBidi"/>
          <w:rtl/>
        </w:rPr>
        <w:t>شک</w:t>
      </w:r>
      <w:r w:rsidR="00AC145F">
        <w:rPr>
          <w:rFonts w:asciiTheme="majorBidi" w:hAnsiTheme="majorBidi" w:cstheme="majorBidi"/>
          <w:rtl/>
        </w:rPr>
        <w:t xml:space="preserve"> شود.</w:t>
      </w:r>
      <w:r w:rsidR="00865895">
        <w:rPr>
          <w:rStyle w:val="a5"/>
          <w:rFonts w:asciiTheme="majorBidi" w:hAnsiTheme="majorBidi" w:cstheme="majorBidi"/>
          <w:rtl/>
        </w:rPr>
        <w:footnoteReference w:id="7"/>
      </w:r>
    </w:p>
    <w:p w14:paraId="6CD73F28" w14:textId="77777777" w:rsidR="00C360CD" w:rsidRDefault="00C360CD" w:rsidP="00C360CD">
      <w:pPr>
        <w:rPr>
          <w:rFonts w:asciiTheme="majorBidi" w:hAnsiTheme="majorBidi" w:cstheme="majorBidi"/>
        </w:rPr>
      </w:pPr>
    </w:p>
    <w:p w14:paraId="61AD3FB9" w14:textId="1710A1A2" w:rsidR="00F74E84" w:rsidRDefault="00F74E84" w:rsidP="00865895">
      <w:pPr>
        <w:rPr>
          <w:rFonts w:asciiTheme="majorBidi" w:hAnsiTheme="majorBidi" w:cstheme="majorBidi"/>
        </w:rPr>
      </w:pPr>
      <w:r w:rsidRPr="00F74E84">
        <w:rPr>
          <w:rFonts w:asciiTheme="majorBidi" w:hAnsiTheme="majorBidi" w:cstheme="majorBidi"/>
          <w:b/>
          <w:bCs/>
          <w:rtl/>
        </w:rPr>
        <w:t>جواب</w:t>
      </w:r>
    </w:p>
    <w:p w14:paraId="7415839D" w14:textId="609F7ACA" w:rsidR="00F74E84" w:rsidRDefault="00F74E84" w:rsidP="00865895">
      <w:pPr>
        <w:rPr>
          <w:rFonts w:asciiTheme="majorBidi" w:hAnsiTheme="majorBidi" w:cstheme="majorBidi"/>
        </w:rPr>
      </w:pPr>
      <w:r>
        <w:rPr>
          <w:rFonts w:asciiTheme="majorBidi" w:hAnsiTheme="majorBidi" w:cstheme="majorBidi"/>
          <w:rtl/>
        </w:rPr>
        <w:t xml:space="preserve">به نظر می رسد مرحوم </w:t>
      </w:r>
      <w:r w:rsidRPr="006B00CD">
        <w:rPr>
          <w:rFonts w:asciiTheme="majorBidi" w:hAnsiTheme="majorBidi" w:cstheme="majorBidi"/>
          <w:b/>
          <w:bCs/>
          <w:rtl/>
        </w:rPr>
        <w:t>صدر</w:t>
      </w:r>
      <w:r>
        <w:rPr>
          <w:rFonts w:asciiTheme="majorBidi" w:hAnsiTheme="majorBidi" w:cstheme="majorBidi"/>
          <w:rtl/>
        </w:rPr>
        <w:t xml:space="preserve"> بین دو حوزه ثبوت تکلیف و سقوط تکلیف</w:t>
      </w:r>
      <w:r w:rsidR="006B00CD">
        <w:rPr>
          <w:rFonts w:asciiTheme="majorBidi" w:hAnsiTheme="majorBidi" w:cstheme="majorBidi"/>
        </w:rPr>
        <w:t xml:space="preserve"> </w:t>
      </w:r>
      <w:r w:rsidR="006B00CD">
        <w:rPr>
          <w:rFonts w:asciiTheme="majorBidi" w:hAnsiTheme="majorBidi" w:cstheme="majorBidi"/>
          <w:rtl/>
        </w:rPr>
        <w:t xml:space="preserve">خلط </w:t>
      </w:r>
      <w:r w:rsidR="002B636D">
        <w:rPr>
          <w:rFonts w:asciiTheme="majorBidi" w:hAnsiTheme="majorBidi" w:cstheme="majorBidi"/>
          <w:rtl/>
        </w:rPr>
        <w:t xml:space="preserve">کرده اند </w:t>
      </w:r>
      <w:r w:rsidR="00707DF1">
        <w:rPr>
          <w:rFonts w:asciiTheme="majorBidi" w:hAnsiTheme="majorBidi" w:cstheme="majorBidi"/>
          <w:rtl/>
        </w:rPr>
        <w:t xml:space="preserve">زیرا کلام مرحوم </w:t>
      </w:r>
      <w:r w:rsidR="00707DF1" w:rsidRPr="0060278A">
        <w:rPr>
          <w:rFonts w:asciiTheme="majorBidi" w:hAnsiTheme="majorBidi" w:cstheme="majorBidi"/>
          <w:b/>
          <w:bCs/>
          <w:rtl/>
        </w:rPr>
        <w:t>آخوند</w:t>
      </w:r>
      <w:r w:rsidR="00707DF1">
        <w:rPr>
          <w:rFonts w:asciiTheme="majorBidi" w:hAnsiTheme="majorBidi" w:cstheme="majorBidi"/>
          <w:rtl/>
        </w:rPr>
        <w:t xml:space="preserve"> و آیت الله </w:t>
      </w:r>
      <w:r w:rsidR="00707DF1" w:rsidRPr="0060278A">
        <w:rPr>
          <w:rFonts w:asciiTheme="majorBidi" w:hAnsiTheme="majorBidi" w:cstheme="majorBidi"/>
          <w:b/>
          <w:bCs/>
          <w:rtl/>
        </w:rPr>
        <w:t>خوئی</w:t>
      </w:r>
      <w:r w:rsidR="00707DF1">
        <w:rPr>
          <w:rFonts w:asciiTheme="majorBidi" w:hAnsiTheme="majorBidi" w:cstheme="majorBidi"/>
          <w:rtl/>
        </w:rPr>
        <w:t xml:space="preserve"> ناظر بر مواردی بود که اصل تنجز تکلیف </w:t>
      </w:r>
      <w:r w:rsidR="0060278A">
        <w:rPr>
          <w:rFonts w:asciiTheme="majorBidi" w:hAnsiTheme="majorBidi" w:cstheme="majorBidi"/>
          <w:rtl/>
        </w:rPr>
        <w:t>مسلم است</w:t>
      </w:r>
      <w:r w:rsidR="00707DF1">
        <w:rPr>
          <w:rFonts w:asciiTheme="majorBidi" w:hAnsiTheme="majorBidi" w:cstheme="majorBidi"/>
          <w:rtl/>
        </w:rPr>
        <w:t xml:space="preserve"> و </w:t>
      </w:r>
      <w:r w:rsidR="0060278A">
        <w:rPr>
          <w:rFonts w:asciiTheme="majorBidi" w:hAnsiTheme="majorBidi" w:cstheme="majorBidi"/>
          <w:rtl/>
        </w:rPr>
        <w:t xml:space="preserve"> در مقام امتثال آن </w:t>
      </w:r>
      <w:r w:rsidR="00707DF1">
        <w:rPr>
          <w:rFonts w:asciiTheme="majorBidi" w:hAnsiTheme="majorBidi" w:cstheme="majorBidi"/>
          <w:rtl/>
        </w:rPr>
        <w:t xml:space="preserve">شک در </w:t>
      </w:r>
      <w:r w:rsidR="0060278A">
        <w:rPr>
          <w:rFonts w:asciiTheme="majorBidi" w:hAnsiTheme="majorBidi" w:cstheme="majorBidi"/>
          <w:rtl/>
        </w:rPr>
        <w:t>اعتبار امتثال ظنی بشود</w:t>
      </w:r>
      <w:r w:rsidR="00C360CD">
        <w:rPr>
          <w:rFonts w:asciiTheme="majorBidi" w:hAnsiTheme="majorBidi" w:cstheme="majorBidi"/>
          <w:rtl/>
        </w:rPr>
        <w:t>.</w:t>
      </w:r>
      <w:r w:rsidR="00202F60">
        <w:rPr>
          <w:rFonts w:asciiTheme="majorBidi" w:hAnsiTheme="majorBidi" w:cstheme="majorBidi"/>
        </w:rPr>
        <w:t xml:space="preserve"> </w:t>
      </w:r>
      <w:r w:rsidR="00202F60">
        <w:rPr>
          <w:rFonts w:asciiTheme="majorBidi" w:hAnsiTheme="majorBidi" w:cstheme="majorBidi"/>
          <w:rtl/>
        </w:rPr>
        <w:t xml:space="preserve">همچنین </w:t>
      </w:r>
      <w:r w:rsidR="00AE0033">
        <w:rPr>
          <w:rFonts w:asciiTheme="majorBidi" w:hAnsiTheme="majorBidi" w:cstheme="majorBidi"/>
          <w:rtl/>
        </w:rPr>
        <w:t xml:space="preserve">بر اساس </w:t>
      </w:r>
      <w:r w:rsidR="00202F60">
        <w:rPr>
          <w:rFonts w:asciiTheme="majorBidi" w:hAnsiTheme="majorBidi" w:cstheme="majorBidi"/>
          <w:rtl/>
        </w:rPr>
        <w:t>احتمال</w:t>
      </w:r>
      <w:r w:rsidR="00F057A2">
        <w:rPr>
          <w:rFonts w:asciiTheme="majorBidi" w:hAnsiTheme="majorBidi" w:cstheme="majorBidi"/>
          <w:rtl/>
        </w:rPr>
        <w:t xml:space="preserve"> ترک تکلیف واقعی در موارد امتثال ظنی</w:t>
      </w:r>
      <w:r w:rsidR="008833C1">
        <w:rPr>
          <w:rFonts w:asciiTheme="majorBidi" w:hAnsiTheme="majorBidi" w:cstheme="majorBidi"/>
          <w:rtl/>
        </w:rPr>
        <w:t>، نیازمند بیان بودن لزوم حصول قطع به امتثال و قبح عقاب</w:t>
      </w:r>
      <w:r w:rsidR="00590FC8">
        <w:rPr>
          <w:rFonts w:asciiTheme="majorBidi" w:hAnsiTheme="majorBidi" w:cstheme="majorBidi"/>
          <w:rtl/>
        </w:rPr>
        <w:t xml:space="preserve"> ترک امتثال یقینی بدون بیان ارتباطی به بحث منجزیت تکلیف </w:t>
      </w:r>
      <w:r w:rsidR="006120FB">
        <w:rPr>
          <w:rFonts w:asciiTheme="majorBidi" w:hAnsiTheme="majorBidi" w:cstheme="majorBidi"/>
          <w:rtl/>
        </w:rPr>
        <w:t>نخواهد داشت</w:t>
      </w:r>
      <w:r w:rsidR="00590FC8">
        <w:rPr>
          <w:rFonts w:asciiTheme="majorBidi" w:hAnsiTheme="majorBidi" w:cstheme="majorBidi"/>
          <w:rtl/>
        </w:rPr>
        <w:t xml:space="preserve"> زیرا تکلیف منجز برای بار دوم</w:t>
      </w:r>
      <w:r w:rsidR="00AE0033">
        <w:rPr>
          <w:rFonts w:asciiTheme="majorBidi" w:hAnsiTheme="majorBidi" w:cstheme="majorBidi"/>
          <w:rtl/>
        </w:rPr>
        <w:t xml:space="preserve"> به تنجز نمی رسد.</w:t>
      </w:r>
    </w:p>
    <w:p w14:paraId="61367FAE" w14:textId="0AE22BB5" w:rsidR="00556452" w:rsidRDefault="00556452" w:rsidP="00865895">
      <w:pPr>
        <w:rPr>
          <w:rFonts w:asciiTheme="majorBidi" w:hAnsiTheme="majorBidi" w:cstheme="majorBidi"/>
        </w:rPr>
      </w:pPr>
      <w:r>
        <w:rPr>
          <w:rFonts w:asciiTheme="majorBidi" w:hAnsiTheme="majorBidi" w:cstheme="majorBidi"/>
          <w:rtl/>
        </w:rPr>
        <w:t>اللهم الا أن یقال</w:t>
      </w:r>
      <w:r w:rsidR="000053B5">
        <w:rPr>
          <w:rFonts w:asciiTheme="majorBidi" w:hAnsiTheme="majorBidi" w:cstheme="majorBidi"/>
        </w:rPr>
        <w:t xml:space="preserve"> </w:t>
      </w:r>
      <w:r w:rsidR="000053B5">
        <w:rPr>
          <w:rFonts w:asciiTheme="majorBidi" w:hAnsiTheme="majorBidi" w:cstheme="majorBidi"/>
          <w:rtl/>
        </w:rPr>
        <w:t xml:space="preserve">که مقصود مرحوم </w:t>
      </w:r>
      <w:r w:rsidR="000053B5" w:rsidRPr="000053B5">
        <w:rPr>
          <w:rFonts w:asciiTheme="majorBidi" w:hAnsiTheme="majorBidi" w:cstheme="majorBidi"/>
          <w:b/>
          <w:bCs/>
          <w:rtl/>
        </w:rPr>
        <w:t>صدر</w:t>
      </w:r>
      <w:r w:rsidR="000053B5">
        <w:rPr>
          <w:rFonts w:asciiTheme="majorBidi" w:hAnsiTheme="majorBidi" w:cstheme="majorBidi"/>
          <w:rtl/>
        </w:rPr>
        <w:t xml:space="preserve"> از این اشکال آن باشد</w:t>
      </w:r>
      <w:r w:rsidR="000053B5">
        <w:rPr>
          <w:rFonts w:asciiTheme="majorBidi" w:hAnsiTheme="majorBidi" w:cstheme="majorBidi"/>
        </w:rPr>
        <w:t xml:space="preserve"> </w:t>
      </w:r>
      <w:r w:rsidR="000053B5">
        <w:rPr>
          <w:rFonts w:asciiTheme="majorBidi" w:hAnsiTheme="majorBidi" w:cstheme="majorBidi"/>
          <w:rtl/>
        </w:rPr>
        <w:t xml:space="preserve">که اگر </w:t>
      </w:r>
      <w:r w:rsidR="00561CE7">
        <w:rPr>
          <w:rFonts w:asciiTheme="majorBidi" w:hAnsiTheme="majorBidi" w:cstheme="majorBidi"/>
          <w:rtl/>
        </w:rPr>
        <w:t>قاعده عدم وجوب دفع ضرر محتمل مورد پذیرش واقع شود</w:t>
      </w:r>
      <w:r w:rsidR="0074233A">
        <w:rPr>
          <w:rFonts w:asciiTheme="majorBidi" w:hAnsiTheme="majorBidi" w:cstheme="majorBidi"/>
          <w:rtl/>
        </w:rPr>
        <w:t xml:space="preserve"> و </w:t>
      </w:r>
      <w:r w:rsidR="00EE650E">
        <w:rPr>
          <w:rFonts w:asciiTheme="majorBidi" w:hAnsiTheme="majorBidi" w:cstheme="majorBidi"/>
          <w:rtl/>
        </w:rPr>
        <w:t>موجب اعتبار امتثال ظنی باشد</w:t>
      </w:r>
      <w:r w:rsidR="00561CE7">
        <w:rPr>
          <w:rFonts w:asciiTheme="majorBidi" w:hAnsiTheme="majorBidi" w:cstheme="majorBidi"/>
          <w:rtl/>
        </w:rPr>
        <w:t>، همانا باید علاوه بر حوزه</w:t>
      </w:r>
      <w:r w:rsidR="00111C82">
        <w:rPr>
          <w:rFonts w:asciiTheme="majorBidi" w:hAnsiTheme="majorBidi" w:cstheme="majorBidi"/>
          <w:rtl/>
        </w:rPr>
        <w:t xml:space="preserve"> امتثال و سقوط تکلیف، در حوزه ی تنجز و ثبوت تکلیف نیز</w:t>
      </w:r>
      <w:r w:rsidR="00AA00FB">
        <w:rPr>
          <w:rFonts w:asciiTheme="majorBidi" w:hAnsiTheme="majorBidi" w:cstheme="majorBidi"/>
          <w:rtl/>
        </w:rPr>
        <w:t xml:space="preserve"> مورد تمسک قرار گیرد</w:t>
      </w:r>
      <w:r w:rsidR="004C629F">
        <w:rPr>
          <w:rFonts w:asciiTheme="majorBidi" w:hAnsiTheme="majorBidi" w:cstheme="majorBidi"/>
          <w:rtl/>
        </w:rPr>
        <w:t xml:space="preserve"> </w:t>
      </w:r>
      <w:r w:rsidR="00AA00FB">
        <w:rPr>
          <w:rFonts w:asciiTheme="majorBidi" w:hAnsiTheme="majorBidi" w:cstheme="majorBidi"/>
          <w:rtl/>
        </w:rPr>
        <w:t xml:space="preserve">که لازمه ی آن </w:t>
      </w:r>
      <w:r w:rsidR="00F80CBD">
        <w:rPr>
          <w:rFonts w:asciiTheme="majorBidi" w:hAnsiTheme="majorBidi" w:cstheme="majorBidi"/>
          <w:rtl/>
        </w:rPr>
        <w:t xml:space="preserve">عدم </w:t>
      </w:r>
      <w:r w:rsidR="00AA00FB">
        <w:rPr>
          <w:rFonts w:asciiTheme="majorBidi" w:hAnsiTheme="majorBidi" w:cstheme="majorBidi"/>
          <w:rtl/>
        </w:rPr>
        <w:t>حجیت ظن</w:t>
      </w:r>
      <w:r w:rsidR="00F80CBD">
        <w:rPr>
          <w:rFonts w:asciiTheme="majorBidi" w:hAnsiTheme="majorBidi" w:cstheme="majorBidi"/>
        </w:rPr>
        <w:t xml:space="preserve"> </w:t>
      </w:r>
      <w:r w:rsidR="00F80CBD">
        <w:rPr>
          <w:rFonts w:asciiTheme="majorBidi" w:hAnsiTheme="majorBidi" w:cstheme="majorBidi"/>
          <w:rtl/>
        </w:rPr>
        <w:t xml:space="preserve">خواهد بود زیرا حتی اگر دلیل ظنی بر ثبوت تکلیفی قائم شود، </w:t>
      </w:r>
      <w:r w:rsidR="00C8443F">
        <w:rPr>
          <w:rFonts w:asciiTheme="majorBidi" w:hAnsiTheme="majorBidi" w:cstheme="majorBidi"/>
          <w:rtl/>
        </w:rPr>
        <w:t xml:space="preserve">عقوبت بر ترک آن احتمالی است (نه متیقن) و براساس عدم وجوب دفع ضرر محتمل، </w:t>
      </w:r>
      <w:r w:rsidR="0069589C">
        <w:rPr>
          <w:rFonts w:asciiTheme="majorBidi" w:hAnsiTheme="majorBidi" w:cstheme="majorBidi"/>
          <w:rtl/>
        </w:rPr>
        <w:t>مثبِت تکلیف نخواهد بود.</w:t>
      </w:r>
      <w:r w:rsidR="00387CAA">
        <w:rPr>
          <w:rFonts w:asciiTheme="majorBidi" w:hAnsiTheme="majorBidi" w:cstheme="majorBidi"/>
          <w:rtl/>
        </w:rPr>
        <w:t xml:space="preserve"> همچنین لازمه پذیرش قاعده وجوب دفع ضرر محتمل نه تنها عدم</w:t>
      </w:r>
      <w:r w:rsidR="00221F64">
        <w:rPr>
          <w:rFonts w:asciiTheme="majorBidi" w:hAnsiTheme="majorBidi" w:cstheme="majorBidi"/>
          <w:rtl/>
        </w:rPr>
        <w:t xml:space="preserve"> اعتبار امتثال ظنی بلکه منجزیت ظن</w:t>
      </w:r>
      <w:r w:rsidR="00501108">
        <w:rPr>
          <w:rFonts w:asciiTheme="majorBidi" w:hAnsiTheme="majorBidi" w:cstheme="majorBidi"/>
          <w:rtl/>
        </w:rPr>
        <w:t xml:space="preserve"> (حجیت عقلی ظن)</w:t>
      </w:r>
      <w:r w:rsidR="00221F64">
        <w:rPr>
          <w:rFonts w:asciiTheme="majorBidi" w:hAnsiTheme="majorBidi" w:cstheme="majorBidi"/>
          <w:rtl/>
        </w:rPr>
        <w:t xml:space="preserve"> می باشد.</w:t>
      </w:r>
    </w:p>
    <w:p w14:paraId="31C11D79" w14:textId="4FE2308B" w:rsidR="00155E7B" w:rsidRDefault="00155E7B" w:rsidP="00865895">
      <w:pPr>
        <w:rPr>
          <w:rFonts w:asciiTheme="majorBidi" w:hAnsiTheme="majorBidi" w:cstheme="majorBidi"/>
        </w:rPr>
      </w:pPr>
    </w:p>
    <w:p w14:paraId="08340F61" w14:textId="69F2C372" w:rsidR="00155E7B" w:rsidRDefault="00155E7B" w:rsidP="00155E7B">
      <w:pPr>
        <w:rPr>
          <w:rFonts w:asciiTheme="majorBidi" w:hAnsiTheme="majorBidi" w:cstheme="majorBidi"/>
        </w:rPr>
      </w:pPr>
      <w:r w:rsidRPr="00155E7B">
        <w:rPr>
          <w:rFonts w:asciiTheme="majorBidi" w:hAnsiTheme="majorBidi" w:cstheme="majorBidi"/>
          <w:b/>
          <w:bCs/>
          <w:rtl/>
        </w:rPr>
        <w:t>مختار در مسأله</w:t>
      </w:r>
    </w:p>
    <w:p w14:paraId="2140D2D8" w14:textId="68C76102" w:rsidR="00155E7B" w:rsidRDefault="00155E7B" w:rsidP="00155E7B">
      <w:pPr>
        <w:rPr>
          <w:rFonts w:asciiTheme="majorBidi" w:hAnsiTheme="majorBidi" w:cstheme="majorBidi"/>
        </w:rPr>
      </w:pPr>
      <w:r>
        <w:rPr>
          <w:rFonts w:asciiTheme="majorBidi" w:hAnsiTheme="majorBidi" w:cstheme="majorBidi"/>
          <w:rtl/>
        </w:rPr>
        <w:t>به نظر می رسد</w:t>
      </w:r>
      <w:r>
        <w:rPr>
          <w:rFonts w:asciiTheme="majorBidi" w:hAnsiTheme="majorBidi" w:cstheme="majorBidi"/>
        </w:rPr>
        <w:t xml:space="preserve"> </w:t>
      </w:r>
      <w:r w:rsidR="009C0045">
        <w:rPr>
          <w:rFonts w:asciiTheme="majorBidi" w:hAnsiTheme="majorBidi" w:cstheme="majorBidi"/>
          <w:rtl/>
        </w:rPr>
        <w:t>این بحث از دو منظر قابل عرضه و بررسی می باشد:</w:t>
      </w:r>
    </w:p>
    <w:p w14:paraId="43E17373" w14:textId="5C904E34" w:rsidR="009C0045" w:rsidRDefault="007C6EBC" w:rsidP="009C0045">
      <w:pPr>
        <w:pStyle w:val="a3"/>
        <w:numPr>
          <w:ilvl w:val="0"/>
          <w:numId w:val="5"/>
        </w:numPr>
        <w:rPr>
          <w:rFonts w:asciiTheme="majorBidi" w:hAnsiTheme="majorBidi" w:cstheme="majorBidi"/>
        </w:rPr>
      </w:pPr>
      <w:r>
        <w:rPr>
          <w:rFonts w:asciiTheme="majorBidi" w:hAnsiTheme="majorBidi" w:cstheme="majorBidi"/>
          <w:rtl/>
        </w:rPr>
        <w:t>از منظر شارع</w:t>
      </w:r>
      <w:r>
        <w:rPr>
          <w:rFonts w:asciiTheme="majorBidi" w:hAnsiTheme="majorBidi" w:cstheme="majorBidi"/>
        </w:rPr>
        <w:t xml:space="preserve"> — </w:t>
      </w:r>
      <w:r w:rsidR="00FA4FE7">
        <w:rPr>
          <w:rFonts w:asciiTheme="majorBidi" w:hAnsiTheme="majorBidi" w:cstheme="majorBidi"/>
          <w:rtl/>
        </w:rPr>
        <w:t>یعنی در چه مواردی</w:t>
      </w:r>
      <w:r w:rsidR="00262A60">
        <w:rPr>
          <w:rFonts w:asciiTheme="majorBidi" w:hAnsiTheme="majorBidi" w:cstheme="majorBidi"/>
        </w:rPr>
        <w:t xml:space="preserve"> </w:t>
      </w:r>
      <w:r w:rsidR="00144096">
        <w:rPr>
          <w:rFonts w:asciiTheme="majorBidi" w:hAnsiTheme="majorBidi" w:cstheme="majorBidi"/>
          <w:rtl/>
        </w:rPr>
        <w:t>تکلیف مولی برای عبد منجز</w:t>
      </w:r>
      <w:r w:rsidR="000C0D50">
        <w:rPr>
          <w:rFonts w:asciiTheme="majorBidi" w:hAnsiTheme="majorBidi" w:cstheme="majorBidi"/>
          <w:rtl/>
        </w:rPr>
        <w:t xml:space="preserve"> (تام بودن مسئولیت عبد در برابر تکلیف)</w:t>
      </w:r>
      <w:r w:rsidR="00144096">
        <w:rPr>
          <w:rFonts w:asciiTheme="majorBidi" w:hAnsiTheme="majorBidi" w:cstheme="majorBidi"/>
          <w:rtl/>
        </w:rPr>
        <w:t xml:space="preserve"> است و عقوبت او در فرض ترک تکلیف، ظلم نمی باشد</w:t>
      </w:r>
      <w:r w:rsidR="0069755D">
        <w:rPr>
          <w:rFonts w:asciiTheme="majorBidi" w:hAnsiTheme="majorBidi" w:cstheme="majorBidi"/>
          <w:rtl/>
        </w:rPr>
        <w:t>. بنابراین</w:t>
      </w:r>
      <w:r w:rsidR="00FC7775">
        <w:rPr>
          <w:rFonts w:asciiTheme="majorBidi" w:hAnsiTheme="majorBidi" w:cstheme="majorBidi"/>
          <w:rtl/>
        </w:rPr>
        <w:t xml:space="preserve"> </w:t>
      </w:r>
      <w:r w:rsidR="00071D65">
        <w:rPr>
          <w:rFonts w:asciiTheme="majorBidi" w:hAnsiTheme="majorBidi" w:cstheme="majorBidi"/>
          <w:rtl/>
        </w:rPr>
        <w:t xml:space="preserve">از این منظر </w:t>
      </w:r>
      <w:r w:rsidR="000713F7">
        <w:rPr>
          <w:rFonts w:asciiTheme="majorBidi" w:hAnsiTheme="majorBidi" w:cstheme="majorBidi"/>
          <w:rtl/>
        </w:rPr>
        <w:t>با</w:t>
      </w:r>
      <w:r w:rsidR="005E04DD">
        <w:rPr>
          <w:rFonts w:asciiTheme="majorBidi" w:hAnsiTheme="majorBidi" w:cstheme="majorBidi"/>
          <w:rtl/>
        </w:rPr>
        <w:t xml:space="preserve"> علم به ثبوت تکلیف منجز،</w:t>
      </w:r>
      <w:r w:rsidR="00AB6313">
        <w:rPr>
          <w:rFonts w:asciiTheme="majorBidi" w:hAnsiTheme="majorBidi" w:cstheme="majorBidi"/>
          <w:rtl/>
        </w:rPr>
        <w:t xml:space="preserve"> در فرض امتثال ظنی، عقوبت مکلف نسبت به ترک تکلیف واقعی</w:t>
      </w:r>
      <w:r w:rsidR="004568E9">
        <w:rPr>
          <w:rFonts w:asciiTheme="majorBidi" w:hAnsiTheme="majorBidi" w:cstheme="majorBidi"/>
          <w:rtl/>
        </w:rPr>
        <w:t xml:space="preserve"> </w:t>
      </w:r>
      <w:r w:rsidR="000713F7">
        <w:rPr>
          <w:rFonts w:asciiTheme="majorBidi" w:hAnsiTheme="majorBidi" w:cstheme="majorBidi"/>
          <w:rtl/>
        </w:rPr>
        <w:t>عقلا قبحی</w:t>
      </w:r>
      <w:r w:rsidR="00071D65">
        <w:rPr>
          <w:rFonts w:asciiTheme="majorBidi" w:hAnsiTheme="majorBidi" w:cstheme="majorBidi"/>
          <w:rtl/>
        </w:rPr>
        <w:t xml:space="preserve"> نخواهد داشت</w:t>
      </w:r>
      <w:r w:rsidR="00144096">
        <w:rPr>
          <w:rFonts w:asciiTheme="majorBidi" w:hAnsiTheme="majorBidi" w:cstheme="majorBidi"/>
          <w:rtl/>
        </w:rPr>
        <w:t>.</w:t>
      </w:r>
    </w:p>
    <w:p w14:paraId="04E71ADB" w14:textId="03010273" w:rsidR="007C6EBC" w:rsidRDefault="007C6EBC" w:rsidP="009C0045">
      <w:pPr>
        <w:pStyle w:val="a3"/>
        <w:numPr>
          <w:ilvl w:val="0"/>
          <w:numId w:val="5"/>
        </w:numPr>
        <w:rPr>
          <w:rFonts w:asciiTheme="majorBidi" w:hAnsiTheme="majorBidi" w:cstheme="majorBidi"/>
        </w:rPr>
      </w:pPr>
      <w:r>
        <w:rPr>
          <w:rFonts w:asciiTheme="majorBidi" w:hAnsiTheme="majorBidi" w:cstheme="majorBidi"/>
          <w:rtl/>
        </w:rPr>
        <w:t>از منظر مکلف</w:t>
      </w:r>
      <w:r>
        <w:rPr>
          <w:rFonts w:asciiTheme="majorBidi" w:hAnsiTheme="majorBidi" w:cstheme="majorBidi"/>
        </w:rPr>
        <w:t xml:space="preserve"> — </w:t>
      </w:r>
      <w:r w:rsidR="00FC7775">
        <w:rPr>
          <w:rFonts w:asciiTheme="majorBidi" w:hAnsiTheme="majorBidi" w:cstheme="majorBidi"/>
          <w:rtl/>
        </w:rPr>
        <w:t>یعنی در چه مواردی</w:t>
      </w:r>
      <w:r w:rsidR="004568E9">
        <w:rPr>
          <w:rFonts w:asciiTheme="majorBidi" w:hAnsiTheme="majorBidi" w:cstheme="majorBidi"/>
        </w:rPr>
        <w:t xml:space="preserve"> </w:t>
      </w:r>
      <w:r w:rsidR="00923BEE">
        <w:rPr>
          <w:rFonts w:asciiTheme="majorBidi" w:hAnsiTheme="majorBidi" w:cstheme="majorBidi"/>
          <w:rtl/>
        </w:rPr>
        <w:t>عقل عبد امتثال تکلیف مولی را ضروری می داند.</w:t>
      </w:r>
      <w:r w:rsidR="00494465">
        <w:rPr>
          <w:rFonts w:asciiTheme="majorBidi" w:hAnsiTheme="majorBidi" w:cstheme="majorBidi"/>
          <w:rtl/>
        </w:rPr>
        <w:t xml:space="preserve"> ب</w:t>
      </w:r>
      <w:r w:rsidR="00733E62">
        <w:rPr>
          <w:rFonts w:asciiTheme="majorBidi" w:hAnsiTheme="majorBidi" w:cstheme="majorBidi"/>
          <w:rtl/>
        </w:rPr>
        <w:t xml:space="preserve">دیهی است که اگر </w:t>
      </w:r>
      <w:r w:rsidR="00494465">
        <w:rPr>
          <w:rFonts w:asciiTheme="majorBidi" w:hAnsiTheme="majorBidi" w:cstheme="majorBidi"/>
          <w:rtl/>
        </w:rPr>
        <w:t>عقل احتمال عقوبت بر ترک تکلیف متیقن در فرض امتثال ظنی</w:t>
      </w:r>
      <w:r w:rsidR="00A142B7">
        <w:rPr>
          <w:rFonts w:asciiTheme="majorBidi" w:hAnsiTheme="majorBidi" w:cstheme="majorBidi"/>
          <w:rtl/>
        </w:rPr>
        <w:t xml:space="preserve"> را</w:t>
      </w:r>
      <w:r w:rsidR="00494465">
        <w:rPr>
          <w:rFonts w:asciiTheme="majorBidi" w:hAnsiTheme="majorBidi" w:cstheme="majorBidi"/>
          <w:rtl/>
        </w:rPr>
        <w:t xml:space="preserve"> ضعیف و </w:t>
      </w:r>
      <w:r w:rsidR="00A142B7">
        <w:rPr>
          <w:rFonts w:asciiTheme="majorBidi" w:hAnsiTheme="majorBidi" w:cstheme="majorBidi"/>
          <w:rtl/>
        </w:rPr>
        <w:t>دفع آن را</w:t>
      </w:r>
      <w:r w:rsidR="00066555">
        <w:rPr>
          <w:rFonts w:asciiTheme="majorBidi" w:hAnsiTheme="majorBidi" w:cstheme="majorBidi"/>
        </w:rPr>
        <w:t xml:space="preserve"> </w:t>
      </w:r>
      <w:r w:rsidR="00066555">
        <w:rPr>
          <w:rFonts w:asciiTheme="majorBidi" w:hAnsiTheme="majorBidi" w:cstheme="majorBidi"/>
          <w:rtl/>
        </w:rPr>
        <w:t>لازم نداند</w:t>
      </w:r>
      <w:r w:rsidR="00934130">
        <w:rPr>
          <w:rFonts w:asciiTheme="majorBidi" w:hAnsiTheme="majorBidi" w:cstheme="majorBidi"/>
          <w:rtl/>
        </w:rPr>
        <w:t xml:space="preserve"> (کما ادعی الآخوند و الخوئی)</w:t>
      </w:r>
      <w:r w:rsidR="00066555">
        <w:rPr>
          <w:rFonts w:asciiTheme="majorBidi" w:hAnsiTheme="majorBidi" w:cstheme="majorBidi"/>
          <w:rtl/>
        </w:rPr>
        <w:t>،</w:t>
      </w:r>
      <w:r w:rsidR="00A51307">
        <w:rPr>
          <w:rFonts w:asciiTheme="majorBidi" w:hAnsiTheme="majorBidi" w:cstheme="majorBidi"/>
          <w:rtl/>
        </w:rPr>
        <w:t xml:space="preserve"> دلیلی بر وجوب</w:t>
      </w:r>
      <w:r w:rsidR="00066555">
        <w:rPr>
          <w:rFonts w:asciiTheme="majorBidi" w:hAnsiTheme="majorBidi" w:cstheme="majorBidi"/>
          <w:rtl/>
        </w:rPr>
        <w:t xml:space="preserve"> </w:t>
      </w:r>
      <w:r w:rsidR="00A51307">
        <w:rPr>
          <w:rFonts w:asciiTheme="majorBidi" w:hAnsiTheme="majorBidi" w:cstheme="majorBidi"/>
          <w:rtl/>
        </w:rPr>
        <w:t>علم به امتثال</w:t>
      </w:r>
      <w:r w:rsidR="00A51307">
        <w:rPr>
          <w:rFonts w:asciiTheme="majorBidi" w:hAnsiTheme="majorBidi" w:cstheme="majorBidi"/>
        </w:rPr>
        <w:t xml:space="preserve"> </w:t>
      </w:r>
      <w:r w:rsidR="00A51307">
        <w:rPr>
          <w:rFonts w:asciiTheme="majorBidi" w:hAnsiTheme="majorBidi" w:cstheme="majorBidi"/>
          <w:rtl/>
        </w:rPr>
        <w:t xml:space="preserve">وجود </w:t>
      </w:r>
      <w:r w:rsidR="00EB194D">
        <w:rPr>
          <w:rFonts w:asciiTheme="majorBidi" w:hAnsiTheme="majorBidi" w:cstheme="majorBidi"/>
          <w:rtl/>
        </w:rPr>
        <w:t>ندارد</w:t>
      </w:r>
      <w:r w:rsidR="00A51307">
        <w:rPr>
          <w:rFonts w:asciiTheme="majorBidi" w:hAnsiTheme="majorBidi" w:cstheme="majorBidi"/>
          <w:rtl/>
        </w:rPr>
        <w:t xml:space="preserve"> و صرف عدم قبح عقوبت از جانب شارع نسبت به ترک تکلیف</w:t>
      </w:r>
      <w:r w:rsidR="008A09BD">
        <w:rPr>
          <w:rFonts w:asciiTheme="majorBidi" w:hAnsiTheme="majorBidi" w:cstheme="majorBidi"/>
          <w:rtl/>
        </w:rPr>
        <w:t xml:space="preserve"> واقعی</w:t>
      </w:r>
      <w:r w:rsidR="00A51307">
        <w:rPr>
          <w:rFonts w:asciiTheme="majorBidi" w:hAnsiTheme="majorBidi" w:cstheme="majorBidi"/>
          <w:rtl/>
        </w:rPr>
        <w:t xml:space="preserve"> </w:t>
      </w:r>
      <w:r w:rsidR="00844758">
        <w:rPr>
          <w:rFonts w:asciiTheme="majorBidi" w:hAnsiTheme="majorBidi" w:cstheme="majorBidi"/>
          <w:rtl/>
        </w:rPr>
        <w:t>و احتمال مجازات،</w:t>
      </w:r>
      <w:r w:rsidR="00A51307">
        <w:rPr>
          <w:rFonts w:asciiTheme="majorBidi" w:hAnsiTheme="majorBidi" w:cstheme="majorBidi"/>
          <w:rtl/>
        </w:rPr>
        <w:t xml:space="preserve"> محرکیت و باعثیت</w:t>
      </w:r>
      <w:r w:rsidR="00EB194D">
        <w:rPr>
          <w:rFonts w:asciiTheme="majorBidi" w:hAnsiTheme="majorBidi" w:cstheme="majorBidi"/>
          <w:rtl/>
        </w:rPr>
        <w:t xml:space="preserve"> نخواهد داشت</w:t>
      </w:r>
      <w:r w:rsidR="008A09BD">
        <w:rPr>
          <w:rFonts w:asciiTheme="majorBidi" w:hAnsiTheme="majorBidi" w:cstheme="majorBidi"/>
          <w:rtl/>
        </w:rPr>
        <w:t xml:space="preserve"> (مانند </w:t>
      </w:r>
      <w:r w:rsidR="00F4027E">
        <w:rPr>
          <w:rFonts w:asciiTheme="majorBidi" w:hAnsiTheme="majorBidi" w:cstheme="majorBidi"/>
          <w:rtl/>
        </w:rPr>
        <w:t>اقدام به رانندگی با</w:t>
      </w:r>
      <w:r w:rsidR="00271153">
        <w:rPr>
          <w:rFonts w:asciiTheme="majorBidi" w:hAnsiTheme="majorBidi" w:cstheme="majorBidi"/>
          <w:rtl/>
        </w:rPr>
        <w:t xml:space="preserve"> وجود</w:t>
      </w:r>
      <w:r w:rsidR="00F4027E">
        <w:rPr>
          <w:rFonts w:asciiTheme="majorBidi" w:hAnsiTheme="majorBidi" w:cstheme="majorBidi"/>
          <w:rtl/>
        </w:rPr>
        <w:t xml:space="preserve"> ا</w:t>
      </w:r>
      <w:r w:rsidR="008A09BD">
        <w:rPr>
          <w:rFonts w:asciiTheme="majorBidi" w:hAnsiTheme="majorBidi" w:cstheme="majorBidi"/>
          <w:rtl/>
        </w:rPr>
        <w:t xml:space="preserve">حتمال </w:t>
      </w:r>
      <w:r w:rsidR="00F4027E">
        <w:rPr>
          <w:rFonts w:asciiTheme="majorBidi" w:hAnsiTheme="majorBidi" w:cstheme="majorBidi"/>
          <w:rtl/>
        </w:rPr>
        <w:t>تحقق حادثه جاده ای)</w:t>
      </w:r>
      <w:r w:rsidR="00EB194D">
        <w:rPr>
          <w:rFonts w:asciiTheme="majorBidi" w:hAnsiTheme="majorBidi" w:cstheme="majorBidi"/>
          <w:rtl/>
        </w:rPr>
        <w:t>.</w:t>
      </w:r>
    </w:p>
    <w:p w14:paraId="6F728731" w14:textId="77777777" w:rsidR="00271153" w:rsidRPr="00271153" w:rsidRDefault="00271153" w:rsidP="00271153">
      <w:pPr>
        <w:rPr>
          <w:rFonts w:asciiTheme="majorBidi" w:hAnsiTheme="majorBidi" w:cstheme="majorBidi"/>
        </w:rPr>
      </w:pPr>
    </w:p>
    <w:p w14:paraId="14B84C13" w14:textId="77777777" w:rsidR="00EB194D" w:rsidRPr="00EB194D" w:rsidRDefault="00EB194D" w:rsidP="00844758">
      <w:pPr>
        <w:rPr>
          <w:rFonts w:asciiTheme="majorBidi" w:hAnsiTheme="majorBidi" w:cstheme="majorBidi"/>
        </w:rPr>
      </w:pPr>
    </w:p>
    <w:sectPr w:rsidR="00EB194D" w:rsidRPr="00EB194D" w:rsidSect="009821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76A9" w14:textId="77777777" w:rsidR="00DD16FA" w:rsidRDefault="00DD16FA" w:rsidP="00EE6533">
      <w:pPr>
        <w:spacing w:after="0" w:line="240" w:lineRule="auto"/>
      </w:pPr>
      <w:r>
        <w:separator/>
      </w:r>
    </w:p>
  </w:endnote>
  <w:endnote w:type="continuationSeparator" w:id="0">
    <w:p w14:paraId="69536ACE" w14:textId="77777777" w:rsidR="00DD16FA" w:rsidRDefault="00DD16FA" w:rsidP="00E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013D" w14:textId="77777777" w:rsidR="00DD16FA" w:rsidRDefault="00DD16FA" w:rsidP="00EE6533">
      <w:pPr>
        <w:spacing w:after="0" w:line="240" w:lineRule="auto"/>
      </w:pPr>
      <w:r>
        <w:separator/>
      </w:r>
    </w:p>
  </w:footnote>
  <w:footnote w:type="continuationSeparator" w:id="0">
    <w:p w14:paraId="3999E6D3" w14:textId="77777777" w:rsidR="00DD16FA" w:rsidRDefault="00DD16FA" w:rsidP="00EE6533">
      <w:pPr>
        <w:spacing w:after="0" w:line="240" w:lineRule="auto"/>
      </w:pPr>
      <w:r>
        <w:continuationSeparator/>
      </w:r>
    </w:p>
  </w:footnote>
  <w:footnote w:id="1">
    <w:p w14:paraId="15E3BE89" w14:textId="28119ED0" w:rsidR="00EE6533" w:rsidRDefault="00EE6533">
      <w:pPr>
        <w:pStyle w:val="a4"/>
      </w:pPr>
      <w:r>
        <w:rPr>
          <w:rStyle w:val="a5"/>
        </w:rPr>
        <w:footnoteRef/>
      </w:r>
      <w:r>
        <w:rPr>
          <w:rtl/>
        </w:rPr>
        <w:t xml:space="preserve"> </w:t>
      </w:r>
      <w:r w:rsidR="008B219F">
        <w:rPr>
          <w:rtl/>
        </w:rPr>
        <w:t xml:space="preserve">اساسا </w:t>
      </w:r>
      <w:r>
        <w:rPr>
          <w:rtl/>
        </w:rPr>
        <w:t xml:space="preserve">امتثال به </w:t>
      </w:r>
      <w:r w:rsidR="00DA524F">
        <w:rPr>
          <w:rtl/>
        </w:rPr>
        <w:t>چهار</w:t>
      </w:r>
      <w:r>
        <w:rPr>
          <w:rtl/>
        </w:rPr>
        <w:t xml:space="preserve"> صورت قابل تحقق است:</w:t>
      </w:r>
    </w:p>
    <w:p w14:paraId="6F71ABA9" w14:textId="7D198184" w:rsidR="00EE6533" w:rsidRDefault="00686761" w:rsidP="00686761">
      <w:pPr>
        <w:pStyle w:val="a4"/>
      </w:pPr>
      <w:r>
        <w:rPr>
          <w:rtl/>
        </w:rPr>
        <w:t xml:space="preserve">امتثال </w:t>
      </w:r>
      <w:r w:rsidR="008F05A1">
        <w:rPr>
          <w:rtl/>
        </w:rPr>
        <w:t>قطعی</w:t>
      </w:r>
      <w:r w:rsidR="008B219F">
        <w:t xml:space="preserve"> —</w:t>
      </w:r>
      <w:r w:rsidR="00FD4ABC">
        <w:rPr>
          <w:rtl/>
        </w:rPr>
        <w:t>مربوط به مواردی است که مکلف یقین به امتثال و سقوط تکلیف پیدا نماید مانند</w:t>
      </w:r>
      <w:r w:rsidR="00065D8E">
        <w:rPr>
          <w:rtl/>
        </w:rPr>
        <w:t xml:space="preserve"> صلاة </w:t>
      </w:r>
      <w:r w:rsidR="00DA524F">
        <w:rPr>
          <w:rtl/>
        </w:rPr>
        <w:t>به سمت قبله متیقن</w:t>
      </w:r>
      <w:r w:rsidR="00071919">
        <w:rPr>
          <w:rtl/>
        </w:rPr>
        <w:t>.</w:t>
      </w:r>
    </w:p>
    <w:p w14:paraId="4B7B75EA" w14:textId="1528E2A4" w:rsidR="00686761" w:rsidRDefault="00686761" w:rsidP="00686761">
      <w:pPr>
        <w:pStyle w:val="a4"/>
      </w:pPr>
      <w:r>
        <w:rPr>
          <w:rtl/>
        </w:rPr>
        <w:t>امتثال اجمالی</w:t>
      </w:r>
      <w:r w:rsidR="00F04EAB">
        <w:t xml:space="preserve"> —</w:t>
      </w:r>
      <w:r w:rsidR="00F04EAB">
        <w:rPr>
          <w:rtl/>
        </w:rPr>
        <w:t xml:space="preserve">مربوط به مواردی است </w:t>
      </w:r>
      <w:r w:rsidR="00FD4ABC">
        <w:rPr>
          <w:rtl/>
        </w:rPr>
        <w:t>که مکلف علم اجمالی به امتثال و سقوط تکلیف پیدا نماید مانند صلاة به جهات اربعة.</w:t>
      </w:r>
    </w:p>
    <w:p w14:paraId="123E2228" w14:textId="012AB504" w:rsidR="00686761" w:rsidRDefault="00686761" w:rsidP="00686761">
      <w:pPr>
        <w:pStyle w:val="a4"/>
      </w:pPr>
      <w:r>
        <w:rPr>
          <w:rtl/>
        </w:rPr>
        <w:t>امتثال ظنی</w:t>
      </w:r>
      <w:r w:rsidR="001367B9">
        <w:rPr>
          <w:rtl/>
        </w:rPr>
        <w:t>—  مربوط به مواردی است که</w:t>
      </w:r>
      <w:r w:rsidR="00DA524F">
        <w:rPr>
          <w:rtl/>
        </w:rPr>
        <w:t xml:space="preserve"> مکلف ظن به امتثال و سقوط تکلیف پیدا نماید مانند صلاة به سمت مظنون القبله.</w:t>
      </w:r>
    </w:p>
    <w:p w14:paraId="5B89E924" w14:textId="48AFA8AE" w:rsidR="00DA524F" w:rsidRDefault="00DA524F" w:rsidP="00686761">
      <w:pPr>
        <w:pStyle w:val="a4"/>
      </w:pPr>
      <w:r>
        <w:rPr>
          <w:rtl/>
        </w:rPr>
        <w:t>امتثال احتمالی— مربوط به مواردی است که مکلف احتمال امتثال و سقوط</w:t>
      </w:r>
      <w:r>
        <w:t xml:space="preserve"> </w:t>
      </w:r>
      <w:r>
        <w:rPr>
          <w:rtl/>
        </w:rPr>
        <w:t>تکلیف را بدهد مانند صلاة به سمت محتمل القبله.</w:t>
      </w:r>
    </w:p>
  </w:footnote>
  <w:footnote w:id="2">
    <w:p w14:paraId="4C4E2B51" w14:textId="19FFA88A" w:rsidR="00CF5CFF" w:rsidRDefault="000C2BFD" w:rsidP="00CF5CFF">
      <w:pPr>
        <w:pStyle w:val="a4"/>
      </w:pPr>
      <w:r>
        <w:rPr>
          <w:rStyle w:val="a5"/>
        </w:rPr>
        <w:footnoteRef/>
      </w:r>
      <w:r w:rsidR="007319F8">
        <w:rPr>
          <w:rFonts w:eastAsia="Times New Roman" w:hint="cs"/>
          <w:rtl/>
        </w:rPr>
        <w:t>و</w:t>
      </w:r>
      <w:r w:rsidR="007319F8">
        <w:rPr>
          <w:rFonts w:eastAsia="Times New Roman"/>
          <w:rtl/>
        </w:rPr>
        <w:t xml:space="preserve"> ه</w:t>
      </w:r>
      <w:r w:rsidR="00B5120E">
        <w:rPr>
          <w:rFonts w:eastAsia="Times New Roman"/>
          <w:rtl/>
        </w:rPr>
        <w:t xml:space="preserve">و المحقق الخوانساري </w:t>
      </w:r>
      <w:r w:rsidR="00B5120E">
        <w:rPr>
          <w:rFonts w:eastAsia="Times New Roman"/>
        </w:rPr>
        <w:t xml:space="preserve">- </w:t>
      </w:r>
      <w:r w:rsidR="007319F8">
        <w:rPr>
          <w:rFonts w:eastAsia="Times New Roman"/>
          <w:rtl/>
        </w:rPr>
        <w:t xml:space="preserve"> ف</w:t>
      </w:r>
      <w:r w:rsidR="00B5120E">
        <w:rPr>
          <w:rFonts w:eastAsia="Times New Roman"/>
          <w:rtl/>
        </w:rPr>
        <w:t>ي مشارق الشموس</w:t>
      </w:r>
      <w:r w:rsidR="00B5120E">
        <w:rPr>
          <w:rFonts w:eastAsia="Times New Roman"/>
        </w:rPr>
        <w:t xml:space="preserve">: </w:t>
      </w:r>
      <w:r w:rsidR="00B5120E">
        <w:rPr>
          <w:rFonts w:eastAsia="Times New Roman"/>
          <w:rtl/>
        </w:rPr>
        <w:t xml:space="preserve">۷۹ </w:t>
      </w:r>
      <w:r w:rsidR="00B5120E">
        <w:rPr>
          <w:rFonts w:eastAsia="Times New Roman"/>
        </w:rPr>
        <w:t xml:space="preserve">- </w:t>
      </w:r>
      <w:r w:rsidR="00B5120E">
        <w:rPr>
          <w:rFonts w:eastAsia="Times New Roman"/>
          <w:rtl/>
        </w:rPr>
        <w:t xml:space="preserve">حيث </w:t>
      </w:r>
      <w:r w:rsidR="003D301C">
        <w:rPr>
          <w:rFonts w:eastAsia="Times New Roman"/>
          <w:rtl/>
        </w:rPr>
        <w:t>قال</w:t>
      </w:r>
      <w:r w:rsidR="003D301C">
        <w:rPr>
          <w:rFonts w:eastAsia="Times New Roman"/>
        </w:rPr>
        <w:t>»:</w:t>
      </w:r>
      <w:r w:rsidR="00B5120E">
        <w:rPr>
          <w:rFonts w:eastAsia="Times New Roman"/>
        </w:rPr>
        <w:t xml:space="preserve"> </w:t>
      </w:r>
      <w:r w:rsidR="00B5120E">
        <w:rPr>
          <w:rFonts w:eastAsia="Times New Roman"/>
          <w:rtl/>
        </w:rPr>
        <w:t>إذا كان أمر أو نهي</w:t>
      </w:r>
      <w:r w:rsidR="007319F8">
        <w:rPr>
          <w:rFonts w:eastAsia="Times New Roman"/>
        </w:rPr>
        <w:t xml:space="preserve"> </w:t>
      </w:r>
      <w:r w:rsidR="00B5120E">
        <w:rPr>
          <w:rFonts w:eastAsia="Times New Roman"/>
          <w:rtl/>
        </w:rPr>
        <w:t xml:space="preserve">بفعل إلى غاية </w:t>
      </w:r>
      <w:r w:rsidR="00B5120E">
        <w:rPr>
          <w:rFonts w:eastAsia="Times New Roman"/>
        </w:rPr>
        <w:t xml:space="preserve">- </w:t>
      </w:r>
      <w:r w:rsidR="00B5120E">
        <w:rPr>
          <w:rFonts w:eastAsia="Times New Roman"/>
          <w:rtl/>
        </w:rPr>
        <w:t xml:space="preserve">مثلا </w:t>
      </w:r>
      <w:r w:rsidR="00B5120E">
        <w:rPr>
          <w:rFonts w:eastAsia="Times New Roman"/>
        </w:rPr>
        <w:t xml:space="preserve">- </w:t>
      </w:r>
      <w:r w:rsidR="00B5120E">
        <w:rPr>
          <w:rFonts w:eastAsia="Times New Roman"/>
          <w:rtl/>
        </w:rPr>
        <w:t>فعند الشك في حدوث تلك الغاية لولم يمتثل التكليف المذكور لم يحصل الظن بالامتثال والخروج عن العهدة</w:t>
      </w:r>
      <w:r w:rsidR="00B5120E">
        <w:rPr>
          <w:rFonts w:ascii="Arial" w:eastAsia="Times New Roman" w:hAnsi="Arial" w:cs="Arial"/>
        </w:rPr>
        <w:t>،</w:t>
      </w:r>
      <w:r w:rsidR="00B5120E">
        <w:rPr>
          <w:rFonts w:eastAsia="Times New Roman"/>
        </w:rPr>
        <w:t xml:space="preserve"> </w:t>
      </w:r>
      <w:r w:rsidR="00B5120E">
        <w:rPr>
          <w:rFonts w:eastAsia="Times New Roman"/>
          <w:rtl/>
        </w:rPr>
        <w:t xml:space="preserve">وما لم يحصل الظن لم يحصل </w:t>
      </w:r>
      <w:r w:rsidR="003D301C">
        <w:rPr>
          <w:rFonts w:eastAsia="Times New Roman"/>
          <w:rtl/>
        </w:rPr>
        <w:t>الامتثال» ،</w:t>
      </w:r>
      <w:r w:rsidR="00B5120E">
        <w:rPr>
          <w:rFonts w:eastAsia="Times New Roman"/>
        </w:rPr>
        <w:t xml:space="preserve"> </w:t>
      </w:r>
      <w:r w:rsidR="00B5120E">
        <w:rPr>
          <w:rFonts w:eastAsia="Times New Roman"/>
          <w:rtl/>
        </w:rPr>
        <w:t>فإن ظاهره الاكتفاء بالظن بالفراغ في سقوط الواقع بعد العلم بثبوته</w:t>
      </w:r>
      <w:r w:rsidR="00B5120E">
        <w:rPr>
          <w:rFonts w:ascii="Arial" w:eastAsia="Times New Roman" w:hAnsi="Arial" w:cs="Arial"/>
        </w:rPr>
        <w:t>،</w:t>
      </w:r>
      <w:r w:rsidR="00B5120E">
        <w:rPr>
          <w:rFonts w:eastAsia="Times New Roman"/>
        </w:rPr>
        <w:t xml:space="preserve"> </w:t>
      </w:r>
      <w:r w:rsidR="00B5120E">
        <w:rPr>
          <w:rFonts w:eastAsia="Times New Roman"/>
          <w:rtl/>
        </w:rPr>
        <w:t>وإلا لقال</w:t>
      </w:r>
      <w:r w:rsidR="006507A1">
        <w:rPr>
          <w:rFonts w:eastAsia="Times New Roman"/>
        </w:rPr>
        <w:t xml:space="preserve"> ) :</w:t>
      </w:r>
      <w:r w:rsidR="00B5120E">
        <w:rPr>
          <w:rFonts w:eastAsia="Times New Roman"/>
          <w:rtl/>
        </w:rPr>
        <w:t>لم يحصل القطع بالامتثال والخروج عن العهدة</w:t>
      </w:r>
      <w:r w:rsidR="006507A1">
        <w:rPr>
          <w:rFonts w:eastAsia="Times New Roman"/>
        </w:rPr>
        <w:t>.(</w:t>
      </w:r>
    </w:p>
  </w:footnote>
  <w:footnote w:id="3">
    <w:p w14:paraId="30798DC2" w14:textId="1D5FF520" w:rsidR="00EB1A7A" w:rsidRDefault="00EB1A7A">
      <w:pPr>
        <w:pStyle w:val="a4"/>
      </w:pPr>
      <w:r>
        <w:rPr>
          <w:rStyle w:val="a5"/>
        </w:rPr>
        <w:footnoteRef/>
      </w:r>
      <w:r>
        <w:rPr>
          <w:rtl/>
        </w:rPr>
        <w:t xml:space="preserve"> </w:t>
      </w:r>
      <w:r w:rsidR="00D85174" w:rsidRPr="00D85174">
        <w:rPr>
          <w:rFonts w:cs="Arial"/>
          <w:rtl/>
        </w:rPr>
        <w:t>أنّه لا ريب في أنّ الأمارة غير العلميّة ليست كالقطع في كون الحجّيّة من لوازمها ومقتضياتها بنحو العلّيّة ، بل مطلقا؛ وأنّ ثبوتها لها محتاج إلى جعل، أو ثبوت مقدّمات وطروء حالات موجبة لاقتضائها الحجّيّة عقلا ـ بناء على تقرير مقدّمات الانسداد بنحو الحكومة ـ. وذلك لوضوح عدم اقتضاء غير القطع للحجّيّة بدون ذلك ثبوتا ـ بلا خلاف ـ ولا سقوطا ؛ وإن كان ربما يظهر فيه من بعض المحقّقين الخلاف والاكتفاء بالظنّ بالفراغ ؛ ولعلّه لأجل عدم لزوم دفع الضرر المحتمل، فتأمّل.</w:t>
      </w:r>
    </w:p>
    <w:p w14:paraId="054B8F17" w14:textId="51752677" w:rsidR="00D85174" w:rsidRDefault="00D85174">
      <w:pPr>
        <w:pStyle w:val="a4"/>
      </w:pPr>
      <w:r>
        <w:rPr>
          <w:rtl/>
        </w:rPr>
        <w:t>کفایة الاصول جلد ۲ صفحه</w:t>
      </w:r>
      <w:r w:rsidR="00366458">
        <w:rPr>
          <w:rtl/>
        </w:rPr>
        <w:t xml:space="preserve"> ۲۷۶</w:t>
      </w:r>
    </w:p>
  </w:footnote>
  <w:footnote w:id="4">
    <w:p w14:paraId="4087618B" w14:textId="7E59BE90" w:rsidR="00871397" w:rsidRDefault="00871397">
      <w:pPr>
        <w:pStyle w:val="a4"/>
      </w:pPr>
      <w:r>
        <w:rPr>
          <w:rStyle w:val="a5"/>
        </w:rPr>
        <w:footnoteRef/>
      </w:r>
      <w:r>
        <w:rPr>
          <w:rtl/>
        </w:rPr>
        <w:t xml:space="preserve"> اقول : ممکن است که گفته شود که</w:t>
      </w:r>
      <w:r w:rsidR="001B73E8">
        <w:rPr>
          <w:rtl/>
        </w:rPr>
        <w:t xml:space="preserve"> احتمال مدّ نظر در </w:t>
      </w:r>
      <w:r w:rsidR="00937A11">
        <w:rPr>
          <w:rtl/>
        </w:rPr>
        <w:t xml:space="preserve">قاعده وجوب دفع ضرر محتمل ناظر بر احتمال ضعیف و غیر معتد به است و از این رو </w:t>
      </w:r>
      <w:r w:rsidR="00AE027F">
        <w:rPr>
          <w:rtl/>
        </w:rPr>
        <w:t xml:space="preserve">عدم اعتبار امتثال احتمالی نقض این استدلال نخواهد بود زیرا در چنین فرضی احتمال عقوبت کما کان قوی و </w:t>
      </w:r>
      <w:r w:rsidR="001F727C">
        <w:rPr>
          <w:rtl/>
        </w:rPr>
        <w:t>معتد به است فافهم.</w:t>
      </w:r>
    </w:p>
  </w:footnote>
  <w:footnote w:id="5">
    <w:p w14:paraId="2EC62582" w14:textId="1456E5D9" w:rsidR="00851AD1" w:rsidRDefault="00851AD1">
      <w:pPr>
        <w:pStyle w:val="a4"/>
      </w:pPr>
      <w:r>
        <w:rPr>
          <w:rStyle w:val="a5"/>
        </w:rPr>
        <w:footnoteRef/>
      </w:r>
      <w:r>
        <w:rPr>
          <w:rtl/>
        </w:rPr>
        <w:t xml:space="preserve"> </w:t>
      </w:r>
      <w:r w:rsidR="00FA1544">
        <w:rPr>
          <w:rtl/>
        </w:rPr>
        <w:t>ممکن است گفته شود که حتی در حوزه ضررهای دنیوی،</w:t>
      </w:r>
      <w:r w:rsidR="005742AF">
        <w:rPr>
          <w:rtl/>
        </w:rPr>
        <w:t xml:space="preserve"> عقل</w:t>
      </w:r>
      <w:r w:rsidR="00FA1544">
        <w:rPr>
          <w:rtl/>
        </w:rPr>
        <w:t xml:space="preserve"> </w:t>
      </w:r>
      <w:r w:rsidR="00CE482B">
        <w:rPr>
          <w:rtl/>
        </w:rPr>
        <w:t>بر اساس تزاحم منفعت و ضرر و ترجیح جلب منفعت، حکم به عدم وجوب</w:t>
      </w:r>
      <w:r w:rsidR="005742AF">
        <w:rPr>
          <w:rtl/>
        </w:rPr>
        <w:t xml:space="preserve"> دفع ضرر محتمل می نماید نه اینکه عقل راسا دفع ضرر دنیوی</w:t>
      </w:r>
      <w:r w:rsidR="005742AF">
        <w:t xml:space="preserve"> </w:t>
      </w:r>
      <w:r w:rsidR="005742AF">
        <w:rPr>
          <w:rtl/>
        </w:rPr>
        <w:t>را ضروری نمی داند.</w:t>
      </w:r>
    </w:p>
  </w:footnote>
  <w:footnote w:id="6">
    <w:p w14:paraId="1473BB46" w14:textId="48C5ADDE" w:rsidR="004768DE" w:rsidRDefault="0086274F" w:rsidP="001C0AFF">
      <w:pPr>
        <w:pStyle w:val="a4"/>
        <w:rPr>
          <w:rFonts w:cs="Arial"/>
          <w:rtl/>
        </w:rPr>
      </w:pPr>
      <w:r>
        <w:rPr>
          <w:rStyle w:val="a5"/>
        </w:rPr>
        <w:footnoteRef/>
      </w:r>
      <w:r>
        <w:rPr>
          <w:rtl/>
        </w:rPr>
        <w:t xml:space="preserve"> </w:t>
      </w:r>
      <w:r w:rsidR="004768DE">
        <w:rPr>
          <w:rFonts w:cs="Arial"/>
          <w:rtl/>
        </w:rPr>
        <w:t>أقول: الأمر بالتأمل إشارة إلى أن ما ذهب إليه هذا القائل وهو صاحب الحاشية يختص بصورة عدم التمكن من الامتثال العلمي، فكفاية الامتثال الظني إنما تكون في فرض الانسداد، وإلاّ فهو بديهي البطلان.</w:t>
      </w:r>
      <w:r w:rsidR="001C0AFF">
        <w:rPr>
          <w:rFonts w:cs="Arial"/>
          <w:rtl/>
        </w:rPr>
        <w:t xml:space="preserve"> </w:t>
      </w:r>
      <w:r w:rsidR="004768DE">
        <w:rPr>
          <w:rFonts w:cs="Arial"/>
          <w:rtl/>
        </w:rPr>
        <w:t>و لا يتم التوجيه المتقدم عنه قدّس سرّه فانه يرد عليه.</w:t>
      </w:r>
    </w:p>
    <w:p w14:paraId="36E429CC" w14:textId="77777777" w:rsidR="004768DE" w:rsidRDefault="004768DE" w:rsidP="004768DE">
      <w:pPr>
        <w:pStyle w:val="a4"/>
        <w:rPr>
          <w:rFonts w:cs="Arial"/>
          <w:rtl/>
        </w:rPr>
      </w:pPr>
      <w:r>
        <w:rPr>
          <w:rFonts w:cs="Arial"/>
          <w:rtl/>
        </w:rPr>
        <w:t>أولا: أن ذلك يستلزم جواز الاكتفاء بالامتثال الاحتمالي أيضا، ولا يلتزم به‌ القائل ولا غيره.</w:t>
      </w:r>
    </w:p>
    <w:p w14:paraId="6A2447E1" w14:textId="77777777" w:rsidR="004768DE" w:rsidRDefault="004768DE" w:rsidP="004768DE">
      <w:pPr>
        <w:pStyle w:val="a4"/>
        <w:rPr>
          <w:rFonts w:cs="Arial"/>
          <w:rtl/>
        </w:rPr>
      </w:pPr>
      <w:r>
        <w:rPr>
          <w:rFonts w:cs="Arial"/>
          <w:rtl/>
        </w:rPr>
        <w:t>و ثانيا: أن ما وقع الخلاف في لزوم دفعه إنما هو الضرر الدنيوي لا الأخروي، ومن ثم لم يخالف أحد في لزوم الفحص في موارد الشبهات الحكمية مع أنه ليس هناك إلاّ احتمال العقاب، فتحصل أن الظن كما لا يكون حجة ثبوتا لا يكون حجة سقوطا.</w:t>
      </w:r>
    </w:p>
    <w:p w14:paraId="0655E6C8" w14:textId="0CE67B9A" w:rsidR="0086274F" w:rsidRDefault="004768DE">
      <w:pPr>
        <w:pStyle w:val="a4"/>
      </w:pPr>
      <w:r>
        <w:rPr>
          <w:rFonts w:cs="Arial"/>
          <w:rtl/>
        </w:rPr>
        <w:t>دراسات ف</w:t>
      </w:r>
      <w:r>
        <w:rPr>
          <w:rFonts w:cs="Arial" w:hint="cs"/>
          <w:rtl/>
        </w:rPr>
        <w:t>ی</w:t>
      </w:r>
      <w:r>
        <w:rPr>
          <w:rFonts w:cs="Arial"/>
          <w:rtl/>
        </w:rPr>
        <w:t xml:space="preserve"> علم الاصول جلد ۳ صفحه ۱۰۳</w:t>
      </w:r>
    </w:p>
  </w:footnote>
  <w:footnote w:id="7">
    <w:p w14:paraId="0B6A24C8" w14:textId="77777777" w:rsidR="00865895" w:rsidRDefault="00865895" w:rsidP="00865895">
      <w:pPr>
        <w:pStyle w:val="a4"/>
        <w:rPr>
          <w:rFonts w:cs="Arial"/>
          <w:rtl/>
        </w:rPr>
      </w:pPr>
      <w:r>
        <w:rPr>
          <w:rStyle w:val="a5"/>
        </w:rPr>
        <w:footnoteRef/>
      </w:r>
      <w:r>
        <w:rPr>
          <w:rtl/>
        </w:rPr>
        <w:t xml:space="preserve"> </w:t>
      </w:r>
      <w:r>
        <w:rPr>
          <w:rFonts w:cs="Arial"/>
          <w:rtl/>
        </w:rPr>
        <w:t>واما الجهة الثانية ـ فقد جاء في الكفاية انَّ الظن لا يكون حجة في تفريغ الذّمّة بذاته ولو كان يظهر من كلمات بعضهم الاكتفاء بالامتثال الظني على القاعدة ، ولعله باعتبار عدم وجوب دفع الضرر المحتمل لأنَّ الاقتصار على الامتثال الظني يوجب احتمال عدم تحقق الامتثال وبالتالي احتمال الضرر فلو قيل بعدم وجوب دفعه أمكن الاكتفاء بالامتثال الظني بل يكفي الامتثال الاحتمالي حينئذٍ أيضاً ولعله قصده بامره بالتأمل. وعلى كل حال قد ربط التنجز في المقام بمسألة دفع الضرر المحتمل.</w:t>
      </w:r>
    </w:p>
    <w:p w14:paraId="0211C17C" w14:textId="77777777" w:rsidR="00865895" w:rsidRDefault="00865895" w:rsidP="00865895">
      <w:pPr>
        <w:pStyle w:val="a4"/>
        <w:rPr>
          <w:rFonts w:cs="Arial"/>
          <w:rtl/>
        </w:rPr>
      </w:pPr>
      <w:r>
        <w:rPr>
          <w:rFonts w:cs="Arial"/>
          <w:rtl/>
        </w:rPr>
        <w:t>وظاهر عبائر الدراسات إمضاء هذا الابتناء والتفريع ، ولكن أشكل عليه بأنَّ وجوب دفع الضرر في المقام متفق عليه لأنَّ الضرر المحتمل هو العقاب الأخروي ولا خلاف في لزوم دفعه من أحد وانما النزاع بينهم إنْ كان ففي لزوم دفع الضرر الدنيوي.</w:t>
      </w:r>
    </w:p>
    <w:p w14:paraId="7E3867B1" w14:textId="77777777" w:rsidR="00865895" w:rsidRDefault="00865895" w:rsidP="00865895">
      <w:pPr>
        <w:pStyle w:val="a4"/>
        <w:rPr>
          <w:rFonts w:cs="Arial"/>
          <w:rtl/>
        </w:rPr>
      </w:pPr>
      <w:r>
        <w:rPr>
          <w:rFonts w:cs="Arial"/>
          <w:rtl/>
        </w:rPr>
        <w:t>والتحقيق : انه لا ربط بين المسألتين من رأس لأنَّ قانون دفع الضرر المحتمل انما تنتهي إليه بعد فرض احتمال الضرر والعقوبة وهو فرع تنجز التكليف في الرتبة السابقة دائماً إذ مع عدم تنجز التكليف يقطع بعدم العقاب فيستحيل أَنْ يكون التنجز ناشئاً ببركة هذا القانون.</w:t>
      </w:r>
    </w:p>
    <w:p w14:paraId="4089FF76" w14:textId="54EEF39A" w:rsidR="00865895" w:rsidRDefault="00865895">
      <w:pPr>
        <w:pStyle w:val="a4"/>
      </w:pPr>
      <w:r>
        <w:rPr>
          <w:rFonts w:cs="Arial"/>
          <w:rtl/>
        </w:rPr>
        <w:t>بحوث ف</w:t>
      </w:r>
      <w:r>
        <w:rPr>
          <w:rFonts w:cs="Arial" w:hint="cs"/>
          <w:rtl/>
        </w:rPr>
        <w:t>ی</w:t>
      </w:r>
      <w:r>
        <w:rPr>
          <w:rFonts w:cs="Arial"/>
          <w:rtl/>
        </w:rPr>
        <w:t xml:space="preserve"> علم الاصول جلد ۴ صفحه ۱۸۷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F1A"/>
    <w:multiLevelType w:val="hybridMultilevel"/>
    <w:tmpl w:val="338CF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1224BF"/>
    <w:multiLevelType w:val="hybridMultilevel"/>
    <w:tmpl w:val="EA3E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A695E"/>
    <w:multiLevelType w:val="hybridMultilevel"/>
    <w:tmpl w:val="F5C41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07B0C"/>
    <w:multiLevelType w:val="hybridMultilevel"/>
    <w:tmpl w:val="861C5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0F65B6"/>
    <w:multiLevelType w:val="hybridMultilevel"/>
    <w:tmpl w:val="9792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133723">
    <w:abstractNumId w:val="2"/>
  </w:num>
  <w:num w:numId="2" w16cid:durableId="702485497">
    <w:abstractNumId w:val="4"/>
  </w:num>
  <w:num w:numId="3" w16cid:durableId="190799234">
    <w:abstractNumId w:val="0"/>
  </w:num>
  <w:num w:numId="4" w16cid:durableId="1140078094">
    <w:abstractNumId w:val="3"/>
  </w:num>
  <w:num w:numId="5" w16cid:durableId="1535536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0E"/>
    <w:rsid w:val="000053B5"/>
    <w:rsid w:val="00015B30"/>
    <w:rsid w:val="00065D8E"/>
    <w:rsid w:val="00066555"/>
    <w:rsid w:val="000713F7"/>
    <w:rsid w:val="00071919"/>
    <w:rsid w:val="00071D65"/>
    <w:rsid w:val="000B6EF8"/>
    <w:rsid w:val="000C0D50"/>
    <w:rsid w:val="000C2BFD"/>
    <w:rsid w:val="000F142D"/>
    <w:rsid w:val="00111C82"/>
    <w:rsid w:val="0011219E"/>
    <w:rsid w:val="001367B9"/>
    <w:rsid w:val="00144096"/>
    <w:rsid w:val="00155E7B"/>
    <w:rsid w:val="001A29A1"/>
    <w:rsid w:val="001B59BD"/>
    <w:rsid w:val="001B73E8"/>
    <w:rsid w:val="001C0AFF"/>
    <w:rsid w:val="001D7136"/>
    <w:rsid w:val="001E0724"/>
    <w:rsid w:val="001E202F"/>
    <w:rsid w:val="001F727C"/>
    <w:rsid w:val="00202F60"/>
    <w:rsid w:val="00213F1F"/>
    <w:rsid w:val="00221F64"/>
    <w:rsid w:val="002449BA"/>
    <w:rsid w:val="00262A60"/>
    <w:rsid w:val="00271153"/>
    <w:rsid w:val="002B636D"/>
    <w:rsid w:val="002C7794"/>
    <w:rsid w:val="002D30C0"/>
    <w:rsid w:val="002F6F45"/>
    <w:rsid w:val="00366458"/>
    <w:rsid w:val="00386B08"/>
    <w:rsid w:val="00387CAA"/>
    <w:rsid w:val="003A0682"/>
    <w:rsid w:val="003A30EB"/>
    <w:rsid w:val="003A7002"/>
    <w:rsid w:val="003D1AD9"/>
    <w:rsid w:val="003D301C"/>
    <w:rsid w:val="00415CEB"/>
    <w:rsid w:val="004568E9"/>
    <w:rsid w:val="004768DE"/>
    <w:rsid w:val="00494465"/>
    <w:rsid w:val="004C629F"/>
    <w:rsid w:val="004D514C"/>
    <w:rsid w:val="004F1EC2"/>
    <w:rsid w:val="00501108"/>
    <w:rsid w:val="00525126"/>
    <w:rsid w:val="00556452"/>
    <w:rsid w:val="00561CE7"/>
    <w:rsid w:val="00571191"/>
    <w:rsid w:val="005742AF"/>
    <w:rsid w:val="00590FC8"/>
    <w:rsid w:val="005E04DD"/>
    <w:rsid w:val="005E1330"/>
    <w:rsid w:val="0060278A"/>
    <w:rsid w:val="006038B5"/>
    <w:rsid w:val="006120FB"/>
    <w:rsid w:val="0061657F"/>
    <w:rsid w:val="00632E4C"/>
    <w:rsid w:val="00637C86"/>
    <w:rsid w:val="006507A1"/>
    <w:rsid w:val="0067360C"/>
    <w:rsid w:val="00686761"/>
    <w:rsid w:val="0069589C"/>
    <w:rsid w:val="0069755D"/>
    <w:rsid w:val="006B00CD"/>
    <w:rsid w:val="00707DF1"/>
    <w:rsid w:val="007264FE"/>
    <w:rsid w:val="007319F8"/>
    <w:rsid w:val="00733E62"/>
    <w:rsid w:val="0074233A"/>
    <w:rsid w:val="007620D1"/>
    <w:rsid w:val="007724A2"/>
    <w:rsid w:val="007C6EBC"/>
    <w:rsid w:val="007D2508"/>
    <w:rsid w:val="007F27A3"/>
    <w:rsid w:val="00836281"/>
    <w:rsid w:val="00840720"/>
    <w:rsid w:val="00844758"/>
    <w:rsid w:val="00845C2E"/>
    <w:rsid w:val="00851AD1"/>
    <w:rsid w:val="008562F1"/>
    <w:rsid w:val="0086274F"/>
    <w:rsid w:val="00865895"/>
    <w:rsid w:val="00871397"/>
    <w:rsid w:val="008833C1"/>
    <w:rsid w:val="0088410E"/>
    <w:rsid w:val="008A09BD"/>
    <w:rsid w:val="008A11F6"/>
    <w:rsid w:val="008A1A39"/>
    <w:rsid w:val="008B219F"/>
    <w:rsid w:val="008F05A1"/>
    <w:rsid w:val="008F7716"/>
    <w:rsid w:val="009016FF"/>
    <w:rsid w:val="00904E76"/>
    <w:rsid w:val="0091374E"/>
    <w:rsid w:val="00923BEE"/>
    <w:rsid w:val="00934130"/>
    <w:rsid w:val="00937A11"/>
    <w:rsid w:val="00943B42"/>
    <w:rsid w:val="00967932"/>
    <w:rsid w:val="00982112"/>
    <w:rsid w:val="009B214B"/>
    <w:rsid w:val="009B52C8"/>
    <w:rsid w:val="009C0045"/>
    <w:rsid w:val="00A00382"/>
    <w:rsid w:val="00A0038D"/>
    <w:rsid w:val="00A142B7"/>
    <w:rsid w:val="00A24B01"/>
    <w:rsid w:val="00A51307"/>
    <w:rsid w:val="00A70E4D"/>
    <w:rsid w:val="00A909F1"/>
    <w:rsid w:val="00A97F46"/>
    <w:rsid w:val="00AA00FB"/>
    <w:rsid w:val="00AB6313"/>
    <w:rsid w:val="00AC145F"/>
    <w:rsid w:val="00AE0033"/>
    <w:rsid w:val="00AE027F"/>
    <w:rsid w:val="00B1164B"/>
    <w:rsid w:val="00B13103"/>
    <w:rsid w:val="00B35DFA"/>
    <w:rsid w:val="00B5120E"/>
    <w:rsid w:val="00B72A2A"/>
    <w:rsid w:val="00B773DB"/>
    <w:rsid w:val="00B85C91"/>
    <w:rsid w:val="00BE7FC0"/>
    <w:rsid w:val="00C05254"/>
    <w:rsid w:val="00C210A6"/>
    <w:rsid w:val="00C360CD"/>
    <w:rsid w:val="00C42C2F"/>
    <w:rsid w:val="00C8443F"/>
    <w:rsid w:val="00CB72C8"/>
    <w:rsid w:val="00CC5718"/>
    <w:rsid w:val="00CE482B"/>
    <w:rsid w:val="00CF5CFF"/>
    <w:rsid w:val="00D50B43"/>
    <w:rsid w:val="00D85174"/>
    <w:rsid w:val="00DA524F"/>
    <w:rsid w:val="00DD16FA"/>
    <w:rsid w:val="00E1341D"/>
    <w:rsid w:val="00E255EC"/>
    <w:rsid w:val="00E54C5D"/>
    <w:rsid w:val="00EB194D"/>
    <w:rsid w:val="00EB1A7A"/>
    <w:rsid w:val="00ED78DB"/>
    <w:rsid w:val="00EE650E"/>
    <w:rsid w:val="00EE6533"/>
    <w:rsid w:val="00F00711"/>
    <w:rsid w:val="00F04EAB"/>
    <w:rsid w:val="00F057A2"/>
    <w:rsid w:val="00F149FD"/>
    <w:rsid w:val="00F261ED"/>
    <w:rsid w:val="00F34A15"/>
    <w:rsid w:val="00F4027E"/>
    <w:rsid w:val="00F45847"/>
    <w:rsid w:val="00F50F42"/>
    <w:rsid w:val="00F55599"/>
    <w:rsid w:val="00F74E84"/>
    <w:rsid w:val="00F80CBD"/>
    <w:rsid w:val="00FA1544"/>
    <w:rsid w:val="00FA4FE7"/>
    <w:rsid w:val="00FC7775"/>
    <w:rsid w:val="00FD4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611C186"/>
  <w15:chartTrackingRefBased/>
  <w15:docId w15:val="{7F3556EE-0028-D248-8859-808497E1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19E"/>
    <w:pPr>
      <w:ind w:left="720"/>
      <w:contextualSpacing/>
    </w:pPr>
  </w:style>
  <w:style w:type="paragraph" w:styleId="a4">
    <w:name w:val="footnote text"/>
    <w:basedOn w:val="a"/>
    <w:link w:val="Char"/>
    <w:uiPriority w:val="99"/>
    <w:semiHidden/>
    <w:unhideWhenUsed/>
    <w:rsid w:val="00EE6533"/>
    <w:pPr>
      <w:spacing w:after="0" w:line="240" w:lineRule="auto"/>
    </w:pPr>
    <w:rPr>
      <w:sz w:val="20"/>
      <w:szCs w:val="20"/>
    </w:rPr>
  </w:style>
  <w:style w:type="character" w:customStyle="1" w:styleId="Char">
    <w:name w:val="نص حاشية سفلية Char"/>
    <w:basedOn w:val="a0"/>
    <w:link w:val="a4"/>
    <w:uiPriority w:val="99"/>
    <w:semiHidden/>
    <w:rsid w:val="00EE6533"/>
    <w:rPr>
      <w:sz w:val="20"/>
      <w:szCs w:val="20"/>
    </w:rPr>
  </w:style>
  <w:style w:type="character" w:styleId="a5">
    <w:name w:val="footnote reference"/>
    <w:basedOn w:val="a0"/>
    <w:uiPriority w:val="99"/>
    <w:semiHidden/>
    <w:unhideWhenUsed/>
    <w:rsid w:val="00EE6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mohsenrafatnia1367@gmail.com</dc:creator>
  <cp:keywords/>
  <dc:description/>
  <cp:lastModifiedBy>mohsenrafatnia1367@gmail.com</cp:lastModifiedBy>
  <cp:revision>2</cp:revision>
  <dcterms:created xsi:type="dcterms:W3CDTF">2022-10-04T03:25:00Z</dcterms:created>
  <dcterms:modified xsi:type="dcterms:W3CDTF">2022-10-04T03:25:00Z</dcterms:modified>
</cp:coreProperties>
</file>